
<file path=[Content_Types].xml><?xml version="1.0" encoding="utf-8"?>
<Types xmlns="http://schemas.openxmlformats.org/package/2006/content-types">
  <Default Extension="jpg" ContentType="application/octet-stream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22.xml" ContentType="application/vnd.openxmlformats-officedocument.wordprocessingml.footer+xml"/>
  <Override PartName="/word/footer7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sectPr>
          <w:footerReference w:type="default" r:id="rId5"/>
          <w:pgSz w:w="11906" w:h="16838" w:code="9"/>
          <w:pgMar w:top="900" w:left="1440" w:bottom="1440" w:right="1016" w:gutter="0"/>
          <w:pgNumType w:fmt="decimal"/>
          <w:docGrid w:type="default" w:linePitch="360" w:charSpace="0"/>
        </w:sectPr>
        <w:jc w:val="both"/>
        <w:rPr>
          <w:b w:val="1"/>
          <w:sz w:val="40"/>
          <w:szCs w:val="40"/>
          <w:shd w:val="clear"/>
        </w:rPr>
      </w:pPr>
    </w:p>
    <w:p>
      <w:pPr>
        <w:jc w:val="center"/>
        <w:rPr>
          <w:b w:val="1"/>
          <w:sz w:val="40"/>
          <w:szCs w:val="40"/>
          <w:shd w:val="clear"/>
        </w:rPr>
      </w:pPr>
      <w:r>
        <w:rPr>
          <w:b w:val="1"/>
          <w:sz w:val="40"/>
          <w:szCs w:val="40"/>
          <w:shd w:val="clear"/>
        </w:rPr>
        <w:t xml:space="preserve">REPUBLIC OF GHANA</w:t>
      </w:r>
    </w:p>
    <w:p>
      <w:pPr>
        <w:jc w:val="center"/>
        <w:rPr>
          <w:b w:val="1"/>
          <w:sz w:val="40"/>
          <w:szCs w:val="40"/>
          <w:shd w:val="clear"/>
        </w:rPr>
      </w:pPr>
    </w:p>
    <w:p>
      <w:pPr>
        <w:jc w:val="center"/>
        <w:rPr>
          <w:b w:val="1"/>
          <w:sz w:val="40"/>
          <w:szCs w:val="40"/>
          <w:shd w:val="clear"/>
        </w:rPr>
      </w:pPr>
      <w:r>
        <w:rPr>
          <w:sz w:val="20"/>
        </w:rPr>
        <w:drawing>
          <wp:inline distT="0" distB="0" distL="0" distR="0">
            <wp:extent cx="3648075" cy="3209925"/>
            <wp:effectExtent l="0" t="0" r="9525" b="9525"/>
            <wp:docPr id="17" name="image5.jpg" descr="C:\Users\USER\Desktop\FANTEAKWA NDA MANAGEMENT 20181025_2121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var/mobile/Containers/Data/Application/90E364DB-64BE-40F9-92D3-5FBDB6331FB4/tmp/_d/image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321056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center"/>
        <w:rPr>
          <w:b w:val="1"/>
          <w:sz w:val="48"/>
          <w:szCs w:val="48"/>
          <w:shd w:val="clear"/>
        </w:rPr>
      </w:pPr>
    </w:p>
    <w:p>
      <w:pPr>
        <w:jc w:val="center"/>
        <w:rPr>
          <w:b w:val="1"/>
          <w:sz w:val="40"/>
          <w:szCs w:val="40"/>
          <w:shd w:val="clear"/>
        </w:rPr>
      </w:pPr>
      <w:r>
        <w:rPr>
          <w:b w:val="1"/>
          <w:sz w:val="40"/>
          <w:szCs w:val="40"/>
          <w:shd w:val="clear"/>
        </w:rPr>
        <w:t xml:space="preserve">Fanteakwa North District Assembly</w:t>
      </w:r>
    </w:p>
    <w:p>
      <w:pPr>
        <w:rPr>
          <w:b w:val="1"/>
          <w:sz w:val="40"/>
          <w:szCs w:val="40"/>
          <w:shd w:val="clear"/>
        </w:rPr>
      </w:pPr>
    </w:p>
    <w:p>
      <w:pPr>
        <w:jc w:val="center"/>
        <w:rPr>
          <w:b w:val="1"/>
          <w:sz w:val="40"/>
          <w:szCs w:val="40"/>
          <w:shd w:val="clear"/>
        </w:rPr>
      </w:pPr>
    </w:p>
    <w:p>
      <w:pPr>
        <w:jc w:val="center"/>
        <w:rPr>
          <w:b w:val="1"/>
          <w:sz w:val="40"/>
          <w:szCs w:val="40"/>
          <w:shd w:val="clear"/>
        </w:rPr>
      </w:pPr>
      <w:r>
        <w:rPr>
          <w:b w:val="1"/>
          <w:sz w:val="40"/>
          <w:szCs w:val="40"/>
          <w:shd w:val="clear"/>
        </w:rPr>
        <w:t xml:space="preserve">2026 Revised Composite Annual Action Plan </w:t>
      </w:r>
    </w:p>
    <w:p>
      <w:pPr>
        <w:jc w:val="center"/>
        <w:rPr>
          <w:b w:val="1"/>
          <w:sz w:val="40"/>
          <w:szCs w:val="40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z w:val="28"/>
          <w:szCs w:val="28"/>
          <w:shd w:val="clear"/>
        </w:rPr>
      </w:pPr>
      <w:r>
        <w:rPr>
          <w:b w:val="1"/>
          <w:sz w:val="28"/>
          <w:szCs w:val="28"/>
          <w:shd w:val="clear"/>
        </w:rPr>
        <w:t xml:space="preserve">Prepared By: District Planning Co-Ordinating Unit (DPCU)</w:t>
      </w:r>
    </w:p>
    <w:p>
      <w:pPr>
        <w:jc w:val="center"/>
        <w:rPr>
          <w:b w:val="1"/>
          <w:sz w:val="28"/>
          <w:szCs w:val="28"/>
          <w:shd w:val="clear"/>
        </w:rPr>
      </w:pPr>
      <w:r>
        <w:rPr>
          <w:b w:val="1"/>
          <w:sz w:val="28"/>
          <w:szCs w:val="28"/>
          <w:shd w:val="clear"/>
        </w:rPr>
        <w:t xml:space="preserve">July, 2026</w:t>
      </w:r>
    </w:p>
    <w:p>
      <w:pPr>
        <w:rPr>
          <w:b w:val="1"/>
          <w:shd w:val="clear"/>
        </w:rPr>
      </w:pPr>
    </w:p>
    <w:p>
      <w:pPr>
        <w:rPr>
          <w:b w:val="1"/>
          <w:shd w:val="clear"/>
        </w:rPr>
      </w:pPr>
    </w:p>
    <w:p>
      <w:pPr>
        <w:rPr>
          <w:b w:val="1"/>
          <w:shd w:val="clear"/>
        </w:rPr>
      </w:pPr>
    </w:p>
    <w:p>
      <w:pPr>
        <w:pStyle w:val="PO27"/>
        <w:rPr>
          <w:shd w:val="clear"/>
        </w:rPr>
      </w:pPr>
      <w:r>
        <w:rPr>
          <w:shd w:val="clear"/>
        </w:rPr>
        <w:t>Contents</w:t>
      </w:r>
    </w:p>
    <w:p>
      <w:pPr>
        <w:pStyle w:val="PO30"/>
        <w:ind w:left="0" w:firstLine="0"/>
        <w:tabs>
          <w:tab w:val="right" w:leader="dot" w:pos="9440"/>
        </w:tabs>
        <w:rPr>
          <w:shd w:val="clear"/>
        </w:rPr>
      </w:pPr>
      <w:r>
        <w:rPr>
          <w:color w:val="auto"/>
          <w:shd w:val="clear"/>
          <w:rFonts w:ascii="NanumGothic" w:eastAsia="NanumGothic" w:hAnsi="NanumGothic" w:cs="NanumGothic"/>
        </w:rPr>
        <w:fldChar w:fldCharType="begin"/>
      </w:r>
      <w:r>
        <w:rPr>
          <w:shd w:val="clear"/>
          <w:rFonts w:hint="eastAsia"/>
        </w:rPr>
        <w:instrText> TOC \o "1 - 3" \h \z \u"</w:instrText>
      </w:r>
      <w:r>
        <w:fldChar w:fldCharType="separate"/>
      </w:r>
      <w:r>
        <w:fldChar w:fldCharType="begin"/>
      </w:r>
      <w:r>
        <w:instrText xml:space="preserve">HYPERLINK  \l  "_Toc239421237"</w:instrText>
      </w:r>
      <w:r>
        <w:fldChar w:fldCharType="separate"/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C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U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-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V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P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P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(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0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6</w:t>
      </w:r>
      <w:r>
        <w:rPr>
          <w:rStyle w:val="PO160"/>
          <w:shd w:val="clear"/>
          <w:rFonts w:asciiTheme="majorBidi" w:hAnsiTheme="majorBidi"/>
        </w:rPr>
        <w:t>-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0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9</w:t>
      </w:r>
      <w:r>
        <w:rPr>
          <w:rStyle w:val="PO160"/>
          <w:shd w:val="clear"/>
          <w:rFonts w:asciiTheme="majorBidi" w:hAnsiTheme="majorBidi"/>
        </w:rPr>
        <w:t>)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_Toc239421237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5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30"/>
        <w:ind w:left="0" w:firstLine="0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"_Toc239421238"</w:instrText>
      </w:r>
      <w:r>
        <w:fldChar w:fldCharType="separate"/>
      </w:r>
      <w:r>
        <w:rPr>
          <w:rStyle w:val="PO160"/>
          <w:shd w:val="clear"/>
          <w:rFonts w:asciiTheme="majorBidi" w:hAnsiTheme="majorBidi"/>
        </w:rPr>
        <w:t>F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K</w:t>
      </w:r>
      <w:r>
        <w:rPr>
          <w:rStyle w:val="PO160"/>
          <w:shd w:val="clear"/>
          <w:rFonts w:asciiTheme="majorBidi" w:hAnsiTheme="majorBidi"/>
        </w:rPr>
        <w:t>W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H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C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B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Y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V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U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C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P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F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H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Y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0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6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_Toc239421238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5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30"/>
        <w:ind w:left="0" w:firstLine="0"/>
        <w:tabs>
          <w:tab w:val="left" w:pos="1200"/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"_Toc239421239"</w:instrText>
      </w:r>
      <w:r>
        <w:fldChar w:fldCharType="separate"/>
      </w:r>
      <w:r>
        <w:rPr>
          <w:rStyle w:val="PO160"/>
          <w:shd w:val="clear"/>
          <w:rFonts w:asciiTheme="majorBidi" w:hAnsiTheme="majorBidi"/>
        </w:rPr>
        <w:t>1</w:t>
      </w:r>
      <w:r>
        <w:rPr>
          <w:rStyle w:val="PO160"/>
          <w:shd w:val="clear"/>
          <w:rFonts w:asciiTheme="majorBidi" w:hAnsiTheme="majorBidi"/>
        </w:rPr>
        <w:t>.</w:t>
      </w:r>
      <w:r>
        <w:rPr>
          <w:rStyle w:val="PO160"/>
          <w:shd w:val="clear"/>
          <w:rFonts w:asciiTheme="majorBidi" w:hAnsiTheme="majorBidi"/>
        </w:rPr>
        <w:t>0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P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G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U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C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P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_Toc239421239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5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28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"_Toc239421240"</w:instrText>
      </w:r>
      <w:r>
        <w:fldChar w:fldCharType="separate"/>
      </w:r>
      <w:r>
        <w:rPr>
          <w:rStyle w:val="PO160"/>
          <w:shd w:val="clear"/>
          <w:rFonts w:ascii="Times New Roman" w:hAnsi="Times New Roman" w:cs="Times New Roman"/>
        </w:rPr>
        <w:t>2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rStyle w:val="PO160"/>
          <w:shd w:val="clear"/>
          <w:rFonts w:ascii="Times New Roman" w:hAnsi="Times New Roman" w:cs="Times New Roman"/>
        </w:rPr>
        <w:t>0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M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B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Z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F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U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_Toc239421240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6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29"/>
        <w:ind w:left="0" w:firstLine="0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"_Toc239421241"</w:instrText>
      </w:r>
      <w:r>
        <w:fldChar w:fldCharType="separate"/>
      </w:r>
      <w:r>
        <w:rPr>
          <w:rStyle w:val="PO160"/>
          <w:shd w:val="clear"/>
          <w:rFonts w:ascii="Times New Roman" w:hAnsi="Times New Roman" w:cs="Times New Roman"/>
        </w:rPr>
        <w:t>3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rStyle w:val="PO160"/>
          <w:shd w:val="clear"/>
          <w:rFonts w:ascii="Times New Roman" w:hAnsi="Times New Roman" w:cs="Times New Roman"/>
        </w:rPr>
        <w:t>0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P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H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P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W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H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X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G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_Toc239421241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7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28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"_Toc239421242"</w:instrText>
      </w:r>
      <w:r>
        <w:fldChar w:fldCharType="separate"/>
      </w:r>
      <w:r>
        <w:rPr>
          <w:rStyle w:val="PO160"/>
          <w:shd w:val="clear"/>
          <w:rFonts w:ascii="Times New Roman" w:hAnsi="Times New Roman" w:cs="Times New Roman"/>
        </w:rPr>
        <w:t>4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rStyle w:val="PO160"/>
          <w:shd w:val="clear"/>
          <w:rFonts w:ascii="Times New Roman" w:hAnsi="Times New Roman" w:cs="Times New Roman"/>
        </w:rPr>
        <w:t>0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U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U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Z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_Toc239421242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7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28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"_Toc239421243"</w:instrText>
      </w:r>
      <w:r>
        <w:fldChar w:fldCharType="separate"/>
      </w:r>
      <w:r>
        <w:rPr>
          <w:rStyle w:val="PO160"/>
          <w:shd w:val="clear"/>
          <w:rFonts w:ascii="Times New Roman" w:hAnsi="Times New Roman" w:cs="Times New Roman"/>
        </w:rPr>
        <w:t>5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rStyle w:val="PO160"/>
          <w:shd w:val="clear"/>
          <w:rFonts w:ascii="Times New Roman" w:hAnsi="Times New Roman" w:cs="Times New Roman"/>
        </w:rPr>
        <w:t>0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U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K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G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_Toc239421243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7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28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"_Toc239421244"</w:instrText>
      </w:r>
      <w:r>
        <w:fldChar w:fldCharType="separate"/>
      </w:r>
      <w:r>
        <w:rPr>
          <w:rStyle w:val="PO160"/>
          <w:shd w:val="clear"/>
          <w:rFonts w:ascii="Times New Roman" w:hAnsi="Times New Roman" w:cs="Times New Roman"/>
        </w:rPr>
        <w:t>6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rStyle w:val="PO160"/>
          <w:shd w:val="clear"/>
          <w:rFonts w:ascii="Times New Roman" w:hAnsi="Times New Roman" w:cs="Times New Roman"/>
        </w:rPr>
        <w:t>0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P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J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L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D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_Toc239421244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8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28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"_Toc239421245"</w:instrText>
      </w:r>
      <w:r>
        <w:fldChar w:fldCharType="separate"/>
      </w:r>
      <w:r>
        <w:rPr>
          <w:rStyle w:val="PO160"/>
          <w:shd w:val="clear"/>
          <w:rFonts w:ascii="Times New Roman" w:hAnsi="Times New Roman" w:cs="Times New Roman"/>
        </w:rPr>
        <w:t>6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rStyle w:val="PO160"/>
          <w:shd w:val="clear"/>
          <w:rFonts w:ascii="Times New Roman" w:hAnsi="Times New Roman" w:cs="Times New Roman"/>
        </w:rPr>
        <w:t>1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P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J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F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C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G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_Toc239421245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8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28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"_Toc239421246"</w:instrText>
      </w:r>
      <w:r>
        <w:fldChar w:fldCharType="separate"/>
      </w:r>
      <w:r>
        <w:rPr>
          <w:rStyle w:val="PO160"/>
          <w:shd w:val="clear"/>
          <w:rFonts w:ascii="Times New Roman" w:hAnsi="Times New Roman" w:cs="Times New Roman"/>
        </w:rPr>
        <w:t>7</w:t>
      </w:r>
      <w:r>
        <w:rPr>
          <w:rStyle w:val="PO160"/>
          <w:shd w:val="clear"/>
          <w:rFonts w:ascii="Times New Roman" w:hAnsi="Times New Roman" w:cs="Times New Roman"/>
        </w:rPr>
        <w:t>.</w:t>
      </w:r>
      <w:r>
        <w:rPr>
          <w:rStyle w:val="PO160"/>
          <w:shd w:val="clear"/>
          <w:rFonts w:ascii="Times New Roman" w:hAnsi="Times New Roman" w:cs="Times New Roman"/>
        </w:rPr>
        <w:t>0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P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O</w:t>
      </w:r>
      <w:r>
        <w:rPr>
          <w:rStyle w:val="PO160"/>
          <w:shd w:val="clear"/>
          <w:rFonts w:ascii="Times New Roman" w:hAnsi="Times New Roman" w:cs="Times New Roman"/>
        </w:rPr>
        <w:t>G</w:t>
      </w:r>
      <w:r>
        <w:rPr>
          <w:rStyle w:val="PO160"/>
          <w:shd w:val="clear"/>
          <w:rFonts w:ascii="Times New Roman" w:hAnsi="Times New Roman" w:cs="Times New Roman"/>
        </w:rPr>
        <w:t>R</w:t>
      </w:r>
      <w:r>
        <w:rPr>
          <w:rStyle w:val="PO160"/>
          <w:shd w:val="clear"/>
          <w:rFonts w:ascii="Times New Roman" w:hAnsi="Times New Roman" w:cs="Times New Roman"/>
        </w:rPr>
        <w:t>A</w:t>
      </w:r>
      <w:r>
        <w:rPr>
          <w:rStyle w:val="PO160"/>
          <w:shd w:val="clear"/>
          <w:rFonts w:ascii="Times New Roman" w:hAnsi="Times New Roman" w:cs="Times New Roman"/>
        </w:rPr>
        <w:t>M</w:t>
      </w:r>
      <w:r>
        <w:rPr>
          <w:rStyle w:val="PO160"/>
          <w:shd w:val="clear"/>
          <w:rFonts w:ascii="Times New Roman" w:hAnsi="Times New Roman" w:cs="Times New Roman"/>
        </w:rPr>
        <w:t>M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B</w:t>
      </w:r>
      <w:r>
        <w:rPr>
          <w:rStyle w:val="PO160"/>
          <w:shd w:val="clear"/>
          <w:rFonts w:ascii="Times New Roman" w:hAnsi="Times New Roman" w:cs="Times New Roman"/>
        </w:rPr>
        <w:t>U</w:t>
      </w:r>
      <w:r>
        <w:rPr>
          <w:rStyle w:val="PO160"/>
          <w:shd w:val="clear"/>
          <w:rFonts w:ascii="Times New Roman" w:hAnsi="Times New Roman" w:cs="Times New Roman"/>
        </w:rPr>
        <w:t>D</w:t>
      </w:r>
      <w:r>
        <w:rPr>
          <w:rStyle w:val="PO160"/>
          <w:shd w:val="clear"/>
          <w:rFonts w:ascii="Times New Roman" w:hAnsi="Times New Roman" w:cs="Times New Roman"/>
        </w:rPr>
        <w:t>G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I</w:t>
      </w:r>
      <w:r>
        <w:rPr>
          <w:rStyle w:val="PO160"/>
          <w:shd w:val="clear"/>
          <w:rFonts w:ascii="Times New Roman" w:hAnsi="Times New Roman" w:cs="Times New Roman"/>
        </w:rPr>
        <w:t>N</w:t>
      </w:r>
      <w:r>
        <w:rPr>
          <w:rStyle w:val="PO160"/>
          <w:shd w:val="clear"/>
          <w:rFonts w:ascii="Times New Roman" w:hAnsi="Times New Roman" w:cs="Times New Roman"/>
        </w:rPr>
        <w:t>G</w:t>
      </w:r>
      <w:r>
        <w:rPr>
          <w:rStyle w:val="PO160"/>
          <w:shd w:val="clear"/>
          <w:rFonts w:ascii="Times New Roman" w:hAnsi="Times New Roman" w:cs="Times New Roman"/>
        </w:rPr>
        <w:t xml:space="preserve"> 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Y</w:t>
      </w:r>
      <w:r>
        <w:rPr>
          <w:rStyle w:val="PO160"/>
          <w:shd w:val="clear"/>
          <w:rFonts w:ascii="Times New Roman" w:hAnsi="Times New Roman" w:cs="Times New Roman"/>
        </w:rPr>
        <w:t>S</w:t>
      </w:r>
      <w:r>
        <w:rPr>
          <w:rStyle w:val="PO160"/>
          <w:shd w:val="clear"/>
          <w:rFonts w:ascii="Times New Roman" w:hAnsi="Times New Roman" w:cs="Times New Roman"/>
        </w:rPr>
        <w:t>T</w:t>
      </w:r>
      <w:r>
        <w:rPr>
          <w:rStyle w:val="PO160"/>
          <w:shd w:val="clear"/>
          <w:rFonts w:ascii="Times New Roman" w:hAnsi="Times New Roman" w:cs="Times New Roman"/>
        </w:rPr>
        <w:t>E</w:t>
      </w:r>
      <w:r>
        <w:rPr>
          <w:rStyle w:val="PO160"/>
          <w:shd w:val="clear"/>
          <w:rFonts w:ascii="Times New Roman" w:hAnsi="Times New Roman" w:cs="Times New Roman"/>
        </w:rPr>
        <w:t>M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_Toc239421246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9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pStyle w:val="PO30"/>
        <w:ind w:left="0" w:firstLine="0"/>
        <w:tabs>
          <w:tab w:val="right" w:leader="dot" w:pos="9440"/>
        </w:tabs>
        <w:rPr>
          <w:shd w:val="clear"/>
        </w:rPr>
      </w:pPr>
      <w:r>
        <w:fldChar w:fldCharType="begin"/>
      </w:r>
      <w:r>
        <w:instrText xml:space="preserve">HYPERLINK  \l  "_Toc239421247"</w:instrText>
      </w:r>
      <w:r>
        <w:fldChar w:fldCharType="separate"/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b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: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1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F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K</w:t>
      </w:r>
      <w:r>
        <w:rPr>
          <w:rStyle w:val="PO160"/>
          <w:shd w:val="clear"/>
          <w:rFonts w:asciiTheme="majorBidi" w:hAnsiTheme="majorBidi"/>
        </w:rPr>
        <w:t>W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H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C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B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Y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0</w:t>
      </w:r>
      <w:r>
        <w:rPr>
          <w:rStyle w:val="PO160"/>
          <w:shd w:val="clear"/>
          <w:rFonts w:asciiTheme="majorBidi" w:hAnsiTheme="majorBidi"/>
        </w:rPr>
        <w:t>2</w:t>
      </w:r>
      <w:r>
        <w:rPr>
          <w:rStyle w:val="PO160"/>
          <w:shd w:val="clear"/>
          <w:rFonts w:asciiTheme="majorBidi" w:hAnsiTheme="majorBidi"/>
        </w:rPr>
        <w:t>6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R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V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>D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C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M</w:t>
      </w:r>
      <w:r>
        <w:rPr>
          <w:rStyle w:val="PO160"/>
          <w:shd w:val="clear"/>
          <w:rFonts w:asciiTheme="majorBidi" w:hAnsiTheme="majorBidi"/>
        </w:rPr>
        <w:t>P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S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E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>U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C</w:t>
      </w:r>
      <w:r>
        <w:rPr>
          <w:rStyle w:val="PO160"/>
          <w:shd w:val="clear"/>
          <w:rFonts w:asciiTheme="majorBidi" w:hAnsiTheme="majorBidi"/>
        </w:rPr>
        <w:t>T</w:t>
      </w:r>
      <w:r>
        <w:rPr>
          <w:rStyle w:val="PO160"/>
          <w:shd w:val="clear"/>
          <w:rFonts w:asciiTheme="majorBidi" w:hAnsiTheme="majorBidi"/>
        </w:rPr>
        <w:t>I</w:t>
      </w:r>
      <w:r>
        <w:rPr>
          <w:rStyle w:val="PO160"/>
          <w:shd w:val="clear"/>
          <w:rFonts w:asciiTheme="majorBidi" w:hAnsiTheme="majorBidi"/>
        </w:rPr>
        <w:t>O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rStyle w:val="PO160"/>
          <w:shd w:val="clear"/>
          <w:rFonts w:asciiTheme="majorBidi" w:hAnsiTheme="majorBidi"/>
        </w:rPr>
        <w:t xml:space="preserve"> </w:t>
      </w:r>
      <w:r>
        <w:rPr>
          <w:rStyle w:val="PO160"/>
          <w:shd w:val="clear"/>
          <w:rFonts w:asciiTheme="majorBidi" w:hAnsiTheme="majorBidi"/>
        </w:rPr>
        <w:t>P</w:t>
      </w:r>
      <w:r>
        <w:rPr>
          <w:rStyle w:val="PO160"/>
          <w:shd w:val="clear"/>
          <w:rFonts w:asciiTheme="majorBidi" w:hAnsiTheme="majorBidi"/>
        </w:rPr>
        <w:t>L</w:t>
      </w:r>
      <w:r>
        <w:rPr>
          <w:rStyle w:val="PO160"/>
          <w:shd w:val="clear"/>
          <w:rFonts w:asciiTheme="majorBidi" w:hAnsiTheme="majorBidi"/>
        </w:rPr>
        <w:t>A</w:t>
      </w:r>
      <w:r>
        <w:rPr>
          <w:rStyle w:val="PO160"/>
          <w:shd w:val="clear"/>
          <w:rFonts w:asciiTheme="majorBidi" w:hAnsiTheme="majorBidi"/>
        </w:rPr>
        <w:t>N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_Toc239421247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10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rPr>
          <w:shd w:val="clear"/>
        </w:rPr>
      </w:pPr>
      <w:r>
        <w:rPr>
          <w:b w:val="1"/>
          <w:shd w:val="clear"/>
        </w:rPr>
        <w:fldChar w:fldCharType="end"/>
      </w:r>
    </w:p>
    <w:p>
      <w:pPr>
        <w:rPr>
          <w:b w:val="1"/>
          <w:shd w:val="clear"/>
        </w:rPr>
      </w:pPr>
    </w:p>
    <w:p>
      <w:pPr>
        <w:rPr>
          <w:b w:val="1"/>
          <w:shd w:val="clear"/>
        </w:rPr>
      </w:pPr>
      <w:r>
        <w:rPr>
          <w:b w:val="1"/>
          <w:shd w:val="clear"/>
        </w:rPr>
        <w:t xml:space="preserve">List of tables</w:t>
      </w:r>
    </w:p>
    <w:p>
      <w:pPr>
        <w:pStyle w:val="PO328"/>
        <w:tabs>
          <w:tab w:val="right" w:leader="dot" w:pos="9440"/>
        </w:tabs>
        <w:rPr>
          <w:shd w:val="clear"/>
        </w:rPr>
      </w:pPr>
      <w:r>
        <w:rPr>
          <w:b w:val="1"/>
          <w:shd w:val="clear"/>
        </w:rPr>
        <w:fldChar w:fldCharType="begin"/>
      </w:r>
      <w:r>
        <w:rPr>
          <w:shd w:val="clear"/>
          <w:rFonts w:hint="eastAsia"/>
        </w:rPr>
        <w:instrText> TOC \o "1 - 9" \h \z \u \c "Table"</w:instrText>
      </w:r>
      <w:r>
        <w:fldChar w:fldCharType="separate"/>
      </w:r>
      <w:r>
        <w:fldChar w:fldCharType="begin"/>
      </w:r>
      <w:r>
        <w:instrText xml:space="preserve">HYPERLINK  \l  "_Toc215573265"</w:instrText>
      </w:r>
      <w:r>
        <w:fldChar w:fldCharType="separate"/>
      </w:r>
      <w:r>
        <w:rPr>
          <w:rStyle w:val="PO160"/>
          <w:shd w:val="clear"/>
          <w:lang w:bidi="fa-IR"/>
        </w:rPr>
        <w:t>T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b</w:t>
      </w:r>
      <w:r>
        <w:rPr>
          <w:rStyle w:val="PO160"/>
          <w:shd w:val="clear"/>
          <w:lang w:bidi="fa-IR"/>
        </w:rPr>
        <w:t>l</w:t>
      </w:r>
      <w:r>
        <w:rPr>
          <w:rStyle w:val="PO160"/>
          <w:shd w:val="clear"/>
          <w:lang w:bidi="fa-IR"/>
        </w:rPr>
        <w:t>e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1</w:t>
      </w:r>
      <w:r>
        <w:rPr>
          <w:rStyle w:val="PO160"/>
          <w:shd w:val="clear"/>
          <w:lang w:bidi="fa-IR"/>
        </w:rPr>
        <w:t>: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F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N</w:t>
      </w:r>
      <w:r>
        <w:rPr>
          <w:rStyle w:val="PO160"/>
          <w:shd w:val="clear"/>
          <w:lang w:bidi="fa-IR"/>
        </w:rPr>
        <w:t>T</w:t>
      </w:r>
      <w:r>
        <w:rPr>
          <w:rStyle w:val="PO160"/>
          <w:shd w:val="clear"/>
          <w:lang w:bidi="fa-IR"/>
        </w:rPr>
        <w:t>E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K</w:t>
      </w:r>
      <w:r>
        <w:rPr>
          <w:rStyle w:val="PO160"/>
          <w:shd w:val="clear"/>
          <w:lang w:bidi="fa-IR"/>
        </w:rPr>
        <w:t>W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N</w:t>
      </w:r>
      <w:r>
        <w:rPr>
          <w:rStyle w:val="PO160"/>
          <w:shd w:val="clear"/>
          <w:lang w:bidi="fa-IR"/>
        </w:rPr>
        <w:t>O</w:t>
      </w:r>
      <w:r>
        <w:rPr>
          <w:rStyle w:val="PO160"/>
          <w:shd w:val="clear"/>
          <w:lang w:bidi="fa-IR"/>
        </w:rPr>
        <w:t>R</w:t>
      </w:r>
      <w:r>
        <w:rPr>
          <w:rStyle w:val="PO160"/>
          <w:shd w:val="clear"/>
          <w:lang w:bidi="fa-IR"/>
        </w:rPr>
        <w:t>T</w:t>
      </w:r>
      <w:r>
        <w:rPr>
          <w:rStyle w:val="PO160"/>
          <w:shd w:val="clear"/>
          <w:lang w:bidi="fa-IR"/>
        </w:rPr>
        <w:t>H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D</w:t>
      </w:r>
      <w:r>
        <w:rPr>
          <w:rStyle w:val="PO160"/>
          <w:shd w:val="clear"/>
          <w:lang w:bidi="fa-IR"/>
        </w:rPr>
        <w:t>I</w:t>
      </w:r>
      <w:r>
        <w:rPr>
          <w:rStyle w:val="PO160"/>
          <w:shd w:val="clear"/>
          <w:lang w:bidi="fa-IR"/>
        </w:rPr>
        <w:t>S</w:t>
      </w:r>
      <w:r>
        <w:rPr>
          <w:rStyle w:val="PO160"/>
          <w:shd w:val="clear"/>
          <w:lang w:bidi="fa-IR"/>
        </w:rPr>
        <w:t>T</w:t>
      </w:r>
      <w:r>
        <w:rPr>
          <w:rStyle w:val="PO160"/>
          <w:shd w:val="clear"/>
          <w:lang w:bidi="fa-IR"/>
        </w:rPr>
        <w:t>R</w:t>
      </w:r>
      <w:r>
        <w:rPr>
          <w:rStyle w:val="PO160"/>
          <w:shd w:val="clear"/>
          <w:lang w:bidi="fa-IR"/>
        </w:rPr>
        <w:t>I</w:t>
      </w:r>
      <w:r>
        <w:rPr>
          <w:rStyle w:val="PO160"/>
          <w:shd w:val="clear"/>
          <w:lang w:bidi="fa-IR"/>
        </w:rPr>
        <w:t>C</w:t>
      </w:r>
      <w:r>
        <w:rPr>
          <w:rStyle w:val="PO160"/>
          <w:shd w:val="clear"/>
          <w:lang w:bidi="fa-IR"/>
        </w:rPr>
        <w:t>T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S</w:t>
      </w:r>
      <w:r>
        <w:rPr>
          <w:rStyle w:val="PO160"/>
          <w:shd w:val="clear"/>
          <w:lang w:bidi="fa-IR"/>
        </w:rPr>
        <w:t>S</w:t>
      </w:r>
      <w:r>
        <w:rPr>
          <w:rStyle w:val="PO160"/>
          <w:shd w:val="clear"/>
          <w:lang w:bidi="fa-IR"/>
        </w:rPr>
        <w:t>E</w:t>
      </w:r>
      <w:r>
        <w:rPr>
          <w:rStyle w:val="PO160"/>
          <w:shd w:val="clear"/>
          <w:lang w:bidi="fa-IR"/>
        </w:rPr>
        <w:t>M</w:t>
      </w:r>
      <w:r>
        <w:rPr>
          <w:rStyle w:val="PO160"/>
          <w:shd w:val="clear"/>
          <w:lang w:bidi="fa-IR"/>
        </w:rPr>
        <w:t>B</w:t>
      </w:r>
      <w:r>
        <w:rPr>
          <w:rStyle w:val="PO160"/>
          <w:shd w:val="clear"/>
          <w:lang w:bidi="fa-IR"/>
        </w:rPr>
        <w:t>L</w:t>
      </w:r>
      <w:r>
        <w:rPr>
          <w:rStyle w:val="PO160"/>
          <w:shd w:val="clear"/>
          <w:lang w:bidi="fa-IR"/>
        </w:rPr>
        <w:t>Y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2</w:t>
      </w:r>
      <w:r>
        <w:rPr>
          <w:rStyle w:val="PO160"/>
          <w:shd w:val="clear"/>
          <w:lang w:bidi="fa-IR"/>
        </w:rPr>
        <w:t>0</w:t>
      </w:r>
      <w:r>
        <w:rPr>
          <w:rStyle w:val="PO160"/>
          <w:shd w:val="clear"/>
          <w:lang w:bidi="fa-IR"/>
        </w:rPr>
        <w:t>2</w:t>
      </w:r>
      <w:r>
        <w:rPr>
          <w:rStyle w:val="PO160"/>
          <w:shd w:val="clear"/>
          <w:lang w:bidi="fa-IR"/>
        </w:rPr>
        <w:t>6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C</w:t>
      </w:r>
      <w:r>
        <w:rPr>
          <w:rStyle w:val="PO160"/>
          <w:shd w:val="clear"/>
          <w:lang w:bidi="fa-IR"/>
        </w:rPr>
        <w:t>O</w:t>
      </w:r>
      <w:r>
        <w:rPr>
          <w:rStyle w:val="PO160"/>
          <w:shd w:val="clear"/>
          <w:lang w:bidi="fa-IR"/>
        </w:rPr>
        <w:t>M</w:t>
      </w:r>
      <w:r>
        <w:rPr>
          <w:rStyle w:val="PO160"/>
          <w:shd w:val="clear"/>
          <w:lang w:bidi="fa-IR"/>
        </w:rPr>
        <w:t>P</w:t>
      </w:r>
      <w:r>
        <w:rPr>
          <w:rStyle w:val="PO160"/>
          <w:shd w:val="clear"/>
          <w:lang w:bidi="fa-IR"/>
        </w:rPr>
        <w:t>O</w:t>
      </w:r>
      <w:r>
        <w:rPr>
          <w:rStyle w:val="PO160"/>
          <w:shd w:val="clear"/>
          <w:lang w:bidi="fa-IR"/>
        </w:rPr>
        <w:t>S</w:t>
      </w:r>
      <w:r>
        <w:rPr>
          <w:rStyle w:val="PO160"/>
          <w:shd w:val="clear"/>
          <w:lang w:bidi="fa-IR"/>
        </w:rPr>
        <w:t>I</w:t>
      </w:r>
      <w:r>
        <w:rPr>
          <w:rStyle w:val="PO160"/>
          <w:shd w:val="clear"/>
          <w:lang w:bidi="fa-IR"/>
        </w:rPr>
        <w:t>T</w:t>
      </w:r>
      <w:r>
        <w:rPr>
          <w:rStyle w:val="PO160"/>
          <w:shd w:val="clear"/>
          <w:lang w:bidi="fa-IR"/>
        </w:rPr>
        <w:t>E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N</w:t>
      </w:r>
      <w:r>
        <w:rPr>
          <w:rStyle w:val="PO160"/>
          <w:shd w:val="clear"/>
          <w:lang w:bidi="fa-IR"/>
        </w:rPr>
        <w:t>U</w:t>
      </w:r>
      <w:r>
        <w:rPr>
          <w:rStyle w:val="PO160"/>
          <w:shd w:val="clear"/>
          <w:lang w:bidi="fa-IR"/>
        </w:rPr>
        <w:t>U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L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C</w:t>
      </w:r>
      <w:r>
        <w:rPr>
          <w:rStyle w:val="PO160"/>
          <w:shd w:val="clear"/>
          <w:lang w:bidi="fa-IR"/>
        </w:rPr>
        <w:t>T</w:t>
      </w:r>
      <w:r>
        <w:rPr>
          <w:rStyle w:val="PO160"/>
          <w:shd w:val="clear"/>
          <w:lang w:bidi="fa-IR"/>
        </w:rPr>
        <w:t>I</w:t>
      </w:r>
      <w:r>
        <w:rPr>
          <w:rStyle w:val="PO160"/>
          <w:shd w:val="clear"/>
          <w:lang w:bidi="fa-IR"/>
        </w:rPr>
        <w:t>O</w:t>
      </w:r>
      <w:r>
        <w:rPr>
          <w:rStyle w:val="PO160"/>
          <w:shd w:val="clear"/>
          <w:lang w:bidi="fa-IR"/>
        </w:rPr>
        <w:t>N</w:t>
      </w:r>
      <w:r>
        <w:rPr>
          <w:rStyle w:val="PO160"/>
          <w:shd w:val="clear"/>
          <w:lang w:bidi="fa-IR"/>
        </w:rPr>
        <w:t xml:space="preserve"> </w:t>
      </w:r>
      <w:r>
        <w:rPr>
          <w:rStyle w:val="PO160"/>
          <w:shd w:val="clear"/>
          <w:lang w:bidi="fa-IR"/>
        </w:rPr>
        <w:t>P</w:t>
      </w:r>
      <w:r>
        <w:rPr>
          <w:rStyle w:val="PO160"/>
          <w:shd w:val="clear"/>
          <w:lang w:bidi="fa-IR"/>
        </w:rPr>
        <w:t>L</w:t>
      </w:r>
      <w:r>
        <w:rPr>
          <w:rStyle w:val="PO160"/>
          <w:shd w:val="clear"/>
          <w:lang w:bidi="fa-IR"/>
        </w:rPr>
        <w:t>A</w:t>
      </w:r>
      <w:r>
        <w:rPr>
          <w:rStyle w:val="PO160"/>
          <w:shd w:val="clear"/>
          <w:lang w:bidi="fa-IR"/>
        </w:rPr>
        <w:t>N</w:t>
      </w:r>
      <w:r>
        <w:rPr>
          <w:shd w:val="clear"/>
        </w:rPr>
        <w:tab/>
      </w:r>
      <w:r>
        <w:rPr>
          <w:shd w:val="clear"/>
        </w:rPr>
        <w:fldChar w:fldCharType="begin"/>
      </w:r>
      <w:r>
        <w:rPr>
          <w:shd w:val="clear"/>
          <w:rFonts w:hint="eastAsia"/>
        </w:rPr>
        <w:instrText> PAGEREF  _Toc215573265 </w:instrText>
      </w:r>
      <w:r>
        <w:rPr>
          <w:shd w:val="clear"/>
          <w:rFonts w:hint="eastAsia"/>
        </w:rPr>
        <w:instrText> \* MERGEFORMAT</w:instrText>
      </w:r>
      <w:r>
        <w:fldChar w:fldCharType="separate"/>
      </w:r>
      <w:r>
        <w:rPr>
          <w:shd w:val="clear"/>
        </w:rPr>
        <w:t>8</w:t>
      </w:r>
      <w:r>
        <w:rPr>
          <w:shd w:val="clear"/>
        </w:rPr>
        <w:fldChar w:fldCharType="end"/>
      </w:r>
      <w:r>
        <w:rPr>
          <w:shd w:val="clear"/>
        </w:rPr>
        <w:fldChar w:fldCharType="end"/>
      </w:r>
    </w:p>
    <w:p>
      <w:pPr>
        <w:rPr>
          <w:b w:val="1"/>
          <w:shd w:val="clear"/>
        </w:rPr>
      </w:pPr>
      <w:r>
        <w:rPr>
          <w:b w:val="1"/>
          <w:shd w:val="clear"/>
        </w:rPr>
        <w:fldChar w:fldCharType="end"/>
      </w: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jc w:val="center"/>
        <w:rPr>
          <w:b w:val="1"/>
          <w:shd w:val="clear"/>
        </w:rPr>
      </w:pPr>
    </w:p>
    <w:p>
      <w:pPr>
        <w:rPr>
          <w:b w:val="1"/>
          <w:shd w:val="clear"/>
        </w:rPr>
      </w:pPr>
    </w:p>
    <w:p>
      <w:pPr>
        <w:pStyle w:val="PO9"/>
        <w:jc w:val="center"/>
        <w:rPr>
          <w:b w:val="1"/>
          <w:color w:val="auto"/>
          <w:shd w:val="clear"/>
          <w:rFonts w:asciiTheme="majorBidi" w:hAnsiTheme="majorBidi"/>
        </w:rPr>
      </w:pPr>
      <w:bookmarkStart w:id="1" w:name="_Toc239421237"/>
      <w:r>
        <w:rPr>
          <w:b w:val="1"/>
          <w:color w:val="auto"/>
          <w:shd w:val="clear"/>
          <w:rFonts w:asciiTheme="majorBidi" w:hAnsiTheme="majorBidi"/>
        </w:rPr>
        <w:t xml:space="preserve">DISTRICT MEDIUM- TERM DEVELOPMENT PLAN (2026-2029)</w:t>
      </w:r>
      <w:bookmarkEnd w:id="1"/>
    </w:p>
    <w:p>
      <w:pPr>
        <w:pStyle w:val="PO9"/>
        <w:jc w:val="center"/>
        <w:rPr>
          <w:b w:val="1"/>
          <w:color w:val="auto"/>
          <w:shd w:val="clear"/>
          <w:rFonts w:asciiTheme="majorBidi" w:hAnsiTheme="majorBidi"/>
        </w:rPr>
      </w:pPr>
      <w:bookmarkStart w:id="2" w:name="_Toc239421238"/>
      <w:r>
        <w:rPr>
          <w:b w:val="1"/>
          <w:color w:val="auto"/>
          <w:shd w:val="clear"/>
          <w:rFonts w:asciiTheme="majorBidi" w:hAnsiTheme="majorBidi"/>
        </w:rPr>
        <w:t xml:space="preserve">FANTEAKWA NORTH DISTRICT ASSEMBLY REVISED ANNUAL ACTION </w:t>
      </w:r>
      <w:r>
        <w:rPr>
          <w:b w:val="1"/>
          <w:color w:val="auto"/>
          <w:shd w:val="clear"/>
          <w:rFonts w:asciiTheme="majorBidi" w:hAnsiTheme="majorBidi"/>
        </w:rPr>
        <w:t xml:space="preserve">PLAN FOR THE YEAR 2026</w:t>
      </w:r>
      <w:bookmarkEnd w:id="2"/>
    </w:p>
    <w:p>
      <w:pPr>
        <w:spacing w:after="0"/>
        <w:rPr>
          <w:shd w:val="clear"/>
        </w:rPr>
      </w:pPr>
    </w:p>
    <w:p>
      <w:pPr>
        <w:pStyle w:val="PO9"/>
        <w:numPr>
          <w:numId w:val="7"/>
          <w:ilvl w:val="0"/>
        </w:numPr>
        <w:rPr>
          <w:b w:val="1"/>
          <w:color w:val="auto"/>
          <w:shd w:val="clear"/>
          <w:rFonts w:asciiTheme="majorBidi" w:hAnsiTheme="majorBidi"/>
        </w:rPr>
      </w:pPr>
      <w:bookmarkStart w:id="3" w:name="_Toc239421239"/>
      <w:r>
        <w:rPr>
          <w:b w:val="1"/>
          <w:color w:val="auto"/>
          <w:shd w:val="clear"/>
          <w:rFonts w:asciiTheme="majorBidi" w:hAnsiTheme="majorBidi"/>
        </w:rPr>
        <w:t xml:space="preserve">IMPLEMENTATION ARRANGEMENT AND ANNUAL ACTION PLAN</w:t>
      </w:r>
      <w:bookmarkEnd w:id="3"/>
    </w:p>
    <w:p>
      <w:pPr>
        <w:spacing w:lineRule="auto" w:line="240" w:after="0"/>
        <w:rPr>
          <w:shd w:val="clear"/>
        </w:rPr>
      </w:pP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The Fanteakwa North District Assembly has developed this revised Composite Annual Action Plan for 2026 </w:t>
      </w:r>
      <w:r>
        <w:rPr>
          <w:shd w:val="clear"/>
        </w:rPr>
        <w:t xml:space="preserve">as a principal operational framework derived from the four (4) year Medium Term Development Plan (2026</w:t>
      </w:r>
      <w:r>
        <w:rPr>
          <w:shd w:val="clear"/>
        </w:rPr>
        <w:t xml:space="preserve">-2029). This document translates the Assembly’s medium term development vision into concrete, time-</w:t>
      </w:r>
      <w:r>
        <w:rPr>
          <w:shd w:val="clear"/>
        </w:rPr>
        <w:t xml:space="preserve">bound, and measurable interventions that address the most pressing socio-economic needs of the district. </w:t>
      </w:r>
      <w:r>
        <w:rPr>
          <w:shd w:val="clear"/>
        </w:rPr>
        <w:t xml:space="preserve">The plan has been crafted through a rigorous participatory process involving departmental heads, </w:t>
      </w:r>
      <w:r>
        <w:rPr>
          <w:shd w:val="clear"/>
        </w:rPr>
        <w:t xml:space="preserve">decentralised agencies, traditional authorities, civil society organizations, and community representatives </w:t>
      </w:r>
      <w:r>
        <w:rPr>
          <w:shd w:val="clear"/>
        </w:rPr>
        <w:t xml:space="preserve">to ensure broad-based ownership and alignment with local development aspirations. 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Priority projects and programmes have been carefully selected based on comprehensive needs assessment </w:t>
      </w:r>
      <w:r>
        <w:rPr>
          <w:shd w:val="clear"/>
        </w:rPr>
        <w:t xml:space="preserve">that took cognizance of the district’s unique potentials, opportunities, and structural constraints. The </w:t>
      </w:r>
      <w:r>
        <w:rPr>
          <w:shd w:val="clear"/>
        </w:rPr>
        <w:t xml:space="preserve">selection process prioritized interventions that leverage existing human and financial resources while </w:t>
      </w:r>
      <w:r>
        <w:rPr>
          <w:shd w:val="clear"/>
        </w:rPr>
        <w:t xml:space="preserve">creating maximum multiplier effects across sectors. The Assembly recognises that suitable development </w:t>
      </w:r>
      <w:r>
        <w:rPr>
          <w:shd w:val="clear"/>
        </w:rPr>
        <w:t xml:space="preserve">requires an integrated approach, where investments in education, health, agriculture, water and sanitation </w:t>
      </w:r>
      <w:r>
        <w:rPr>
          <w:shd w:val="clear"/>
        </w:rPr>
        <w:t xml:space="preserve">and economic infrastructure are deliberately interconnected to generate compounding benefits for the </w:t>
      </w:r>
      <w:r>
        <w:rPr>
          <w:shd w:val="clear"/>
        </w:rPr>
        <w:t xml:space="preserve">citizenry. 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Fanteakwa North District Assembly has assigned to itself the co-ordination and implementation role at the </w:t>
      </w:r>
      <w:r>
        <w:rPr>
          <w:shd w:val="clear"/>
        </w:rPr>
        <w:t xml:space="preserve">local level. The District Medium Term Development Plan clearly indicates the responsibility or principal </w:t>
      </w:r>
      <w:r>
        <w:rPr>
          <w:shd w:val="clear"/>
        </w:rPr>
        <w:t xml:space="preserve">action agent, as well as collaborating agents and development partners. Each intervention outlined in this </w:t>
      </w:r>
      <w:r>
        <w:rPr>
          <w:shd w:val="clear"/>
        </w:rPr>
        <w:t xml:space="preserve">action plan identifies the lead institution for execution, as well as supporting organizations whose technical </w:t>
      </w:r>
      <w:r>
        <w:rPr>
          <w:shd w:val="clear"/>
        </w:rPr>
        <w:t xml:space="preserve">expertise, logistical capacity, or community networks are essential for successful service delivery the </w:t>
      </w:r>
      <w:r>
        <w:rPr>
          <w:shd w:val="clear"/>
        </w:rPr>
        <w:t xml:space="preserve">various aspects of the proposed interventions outlined in the plan. Financially the plan provides detailed </w:t>
      </w:r>
      <w:r>
        <w:rPr>
          <w:shd w:val="clear"/>
        </w:rPr>
        <w:t xml:space="preserve">implementation schedule and cost estimates that serve as benchmarks for budgetary allocation and </w:t>
      </w:r>
      <w:r>
        <w:rPr>
          <w:shd w:val="clear"/>
        </w:rPr>
        <w:t xml:space="preserve">expenditure tracking.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The interlinkages of the causes and effects of the identified core problems in the major sectors of the </w:t>
      </w:r>
      <w:r>
        <w:rPr>
          <w:shd w:val="clear"/>
        </w:rPr>
        <w:t xml:space="preserve">District economy is to adopt an integrated and co-ordinated strategy. The best option, in the circumstance, </w:t>
      </w:r>
      <w:r>
        <w:rPr>
          <w:shd w:val="clear"/>
        </w:rPr>
        <w:t xml:space="preserve">therefore, will be to integrate the priority needs in the health sector with opportunities in agriculture, </w:t>
      </w:r>
      <w:r>
        <w:rPr>
          <w:shd w:val="clear"/>
        </w:rPr>
        <w:t xml:space="preserve">education and improvement in the economic infrastructure, especially roads to ensure maximum benefits. 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The Assembly acknowledges that rigid adherence to proposed implementation schedules may not always </w:t>
      </w:r>
      <w:r>
        <w:rPr>
          <w:shd w:val="clear"/>
        </w:rPr>
        <w:t xml:space="preserve">be feasible given resource constraints, climate variability, and external economic shocks. Therefore, the </w:t>
      </w:r>
      <w:r>
        <w:rPr>
          <w:shd w:val="clear"/>
        </w:rPr>
        <w:t xml:space="preserve">quarterly timelines presented in this plan serves as strategic guidelines from which feasible combination of </w:t>
      </w:r>
      <w:r>
        <w:rPr>
          <w:shd w:val="clear"/>
        </w:rPr>
        <w:t xml:space="preserve">interventions can be put together in a specific year.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The effective implementation of the 2026 Annual Action Plan calls for an approach that seeks to optimize </w:t>
      </w:r>
      <w:r>
        <w:rPr>
          <w:shd w:val="clear"/>
        </w:rPr>
        <w:t xml:space="preserve">utilization of available internal and external resources.</w:t>
      </w:r>
    </w:p>
    <w:p>
      <w:pPr>
        <w:spacing w:lineRule="auto" w:line="360"/>
        <w:rPr>
          <w:shd w:val="clear"/>
        </w:rPr>
      </w:pPr>
      <w:r>
        <w:rPr>
          <w:shd w:val="clear"/>
        </w:rPr>
        <w:t xml:space="preserve">Consequently, the implementation strategy will be anchored on four pillars:</w:t>
      </w:r>
    </w:p>
    <w:p>
      <w:pPr>
        <w:pStyle w:val="PO26"/>
        <w:numPr>
          <w:numId w:val="3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Mobilization of local resources</w:t>
      </w:r>
    </w:p>
    <w:p>
      <w:pPr>
        <w:pStyle w:val="PO26"/>
        <w:numPr>
          <w:numId w:val="3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Partnership with external agencies</w:t>
      </w:r>
    </w:p>
    <w:p>
      <w:pPr>
        <w:pStyle w:val="PO26"/>
        <w:numPr>
          <w:numId w:val="3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Prudent use of available resources; and</w:t>
      </w:r>
    </w:p>
    <w:p>
      <w:pPr>
        <w:pStyle w:val="PO26"/>
        <w:numPr>
          <w:numId w:val="3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Cohesive institutional linkages and networking.</w:t>
      </w:r>
    </w:p>
    <w:p>
      <w:pPr>
        <w:pStyle w:val="PO7"/>
        <w:spacing w:lineRule="auto" w:line="360"/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</w:pPr>
      <w:bookmarkStart w:id="4" w:name="_Toc239421240"/>
      <w:r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  <w:t xml:space="preserve">2.0 MOBILIZATION OF LOCAL RESOURCES</w:t>
      </w:r>
      <w:bookmarkEnd w:id="4"/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An effective mobilization of local resources both human and material is fundamental to the smooth </w:t>
      </w:r>
      <w:r>
        <w:rPr>
          <w:shd w:val="clear"/>
        </w:rPr>
        <w:t xml:space="preserve">implementation of the plan. The active participation of the local communities in the planning and </w:t>
      </w:r>
      <w:r>
        <w:rPr>
          <w:shd w:val="clear"/>
        </w:rPr>
        <w:t xml:space="preserve">implementation of the 4-Year Medium Term Plan is very crucial.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Effective planning and implementation of programmes and projects are interactive processes that take </w:t>
      </w:r>
      <w:r>
        <w:rPr>
          <w:shd w:val="clear"/>
        </w:rPr>
        <w:t xml:space="preserve">place among people and between institutions at different levels. Therefore, the successful implementation </w:t>
      </w:r>
      <w:r>
        <w:rPr>
          <w:shd w:val="clear"/>
        </w:rPr>
        <w:t xml:space="preserve">of the plan will depend on.</w:t>
      </w:r>
    </w:p>
    <w:p>
      <w:pPr>
        <w:pStyle w:val="PO26"/>
        <w:numPr>
          <w:numId w:val="1"/>
          <w:ilvl w:val="0"/>
        </w:numPr>
        <w:spacing w:lineRule="auto" w:line="360"/>
        <w:rPr>
          <w:shd w:val="clear"/>
        </w:rPr>
      </w:pPr>
      <w:r>
        <w:rPr>
          <w:b w:val="1"/>
          <w:shd w:val="clear"/>
        </w:rPr>
        <w:t xml:space="preserve">Availability of funds</w:t>
      </w:r>
      <w:r>
        <w:rPr>
          <w:shd w:val="clear"/>
        </w:rPr>
        <w:t xml:space="preserve"> – Timely release and prudent management of statutory transfers, internally </w:t>
      </w:r>
      <w:r>
        <w:rPr>
          <w:shd w:val="clear"/>
        </w:rPr>
        <w:t xml:space="preserve">generated revenues and donor funds.</w:t>
      </w:r>
    </w:p>
    <w:p>
      <w:pPr>
        <w:pStyle w:val="PO26"/>
        <w:numPr>
          <w:numId w:val="1"/>
          <w:ilvl w:val="0"/>
        </w:numPr>
        <w:spacing w:lineRule="auto" w:line="360"/>
        <w:rPr>
          <w:shd w:val="clear"/>
        </w:rPr>
      </w:pPr>
      <w:r>
        <w:rPr>
          <w:b w:val="1"/>
          <w:shd w:val="clear"/>
        </w:rPr>
        <w:t xml:space="preserve">Effectiveness of the plan in terms of degree of local involvement – </w:t>
      </w:r>
      <w:r>
        <w:rPr>
          <w:shd w:val="clear"/>
        </w:rPr>
        <w:t xml:space="preserve">Ensuring that communities </w:t>
      </w:r>
      <w:r>
        <w:rPr>
          <w:shd w:val="clear"/>
        </w:rPr>
        <w:t xml:space="preserve">see their priorities reflected in district investments.</w:t>
      </w:r>
    </w:p>
    <w:p>
      <w:pPr>
        <w:pStyle w:val="PO26"/>
        <w:numPr>
          <w:numId w:val="1"/>
          <w:ilvl w:val="0"/>
        </w:numPr>
        <w:spacing w:lineRule="auto" w:line="360"/>
        <w:rPr>
          <w:b w:val="1"/>
          <w:shd w:val="clear"/>
        </w:rPr>
      </w:pPr>
      <w:r>
        <w:rPr>
          <w:b w:val="1"/>
          <w:shd w:val="clear"/>
        </w:rPr>
        <w:t xml:space="preserve">Level of community involvement and the willingness to contribute labour, money and other </w:t>
      </w:r>
      <w:r>
        <w:rPr>
          <w:b w:val="1"/>
          <w:shd w:val="clear"/>
        </w:rPr>
        <w:t xml:space="preserve">local resources – </w:t>
      </w:r>
      <w:r>
        <w:rPr>
          <w:shd w:val="clear"/>
        </w:rPr>
        <w:t xml:space="preserve">Leveraging community Labour for maintenance, local materials for construction, </w:t>
      </w:r>
      <w:r>
        <w:rPr>
          <w:shd w:val="clear"/>
        </w:rPr>
        <w:t xml:space="preserve">and community vigilance for project protection.</w:t>
      </w:r>
      <w:r>
        <w:rPr>
          <w:b w:val="1"/>
          <w:shd w:val="clear"/>
        </w:rPr>
        <w:t xml:space="preserve"> </w:t>
      </w:r>
    </w:p>
    <w:p>
      <w:pPr>
        <w:pStyle w:val="PO26"/>
        <w:numPr>
          <w:numId w:val="1"/>
          <w:ilvl w:val="0"/>
        </w:numPr>
        <w:spacing w:lineRule="auto" w:line="360"/>
        <w:rPr>
          <w:shd w:val="clear"/>
        </w:rPr>
      </w:pPr>
      <w:r>
        <w:rPr>
          <w:b w:val="1"/>
          <w:shd w:val="clear"/>
        </w:rPr>
        <w:t xml:space="preserve">And adequate local institutional support</w:t>
      </w:r>
      <w:r>
        <w:rPr>
          <w:shd w:val="clear"/>
        </w:rPr>
        <w:t xml:space="preserve"> - Strengthening the capacity of zonal council, unit </w:t>
      </w:r>
      <w:r>
        <w:rPr>
          <w:shd w:val="clear"/>
        </w:rPr>
        <w:t xml:space="preserve">committees, and community-based organizations to participate actively in monitoring and </w:t>
      </w:r>
      <w:r>
        <w:rPr>
          <w:shd w:val="clear"/>
        </w:rPr>
        <w:t>evaluation.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The departments and agencies operating within the District must be encouraged to play active roles in the </w:t>
      </w:r>
      <w:r>
        <w:rPr>
          <w:shd w:val="clear"/>
        </w:rPr>
        <w:t xml:space="preserve">implementation of their respective sectoral plans, utilizing available material and human resources. Co-</w:t>
      </w:r>
      <w:r>
        <w:rPr>
          <w:shd w:val="clear"/>
        </w:rPr>
        <w:t xml:space="preserve">ordination among the Departments must be ensured to bring about the advantage of sectoral integration </w:t>
      </w:r>
      <w:r>
        <w:rPr>
          <w:shd w:val="clear"/>
        </w:rPr>
        <w:t xml:space="preserve">for the implementation of the entire Development Plan. </w:t>
      </w:r>
    </w:p>
    <w:p>
      <w:pPr>
        <w:pStyle w:val="PO8"/>
        <w:spacing w:lineRule="auto" w:line="360"/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</w:pPr>
      <w:bookmarkStart w:id="5" w:name="_Toc239421241"/>
      <w:r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  <w:t xml:space="preserve">3.0 PARTNERSHIP WITH EXTERNAL AGENCIES.</w:t>
      </w:r>
      <w:bookmarkEnd w:id="5"/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Even though, the District Assembly enjoys constitutional independence in terms of planning and </w:t>
      </w:r>
      <w:r>
        <w:rPr>
          <w:shd w:val="clear"/>
        </w:rPr>
        <w:t xml:space="preserve">administrative decision-making at the local level, limitation in human and financial resources make it </w:t>
      </w:r>
      <w:r>
        <w:rPr>
          <w:shd w:val="clear"/>
        </w:rPr>
        <w:t xml:space="preserve">imperative for the District to seek external support.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Analysis of the District Assembly’s finances reveals that it will be impossible for it to implement any </w:t>
      </w:r>
      <w:r>
        <w:rPr>
          <w:shd w:val="clear"/>
        </w:rPr>
        <w:t xml:space="preserve">meaningful projects from internally generated revenues alone. The District’s IGF while growing remains </w:t>
      </w:r>
      <w:r>
        <w:rPr>
          <w:shd w:val="clear"/>
        </w:rPr>
        <w:t xml:space="preserve">insufficient to cover capital investment gap. Therefore, external resources from the Central Government, </w:t>
      </w:r>
      <w:r>
        <w:rPr>
          <w:shd w:val="clear"/>
        </w:rPr>
        <w:t xml:space="preserve">GETFUND, DACF-RFG, MPs, and development partners must be vigorously pursued as important </w:t>
      </w:r>
      <w:r>
        <w:rPr>
          <w:shd w:val="clear"/>
        </w:rPr>
        <w:t xml:space="preserve">complementary sources of funding to execute this plan.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Lastly, local groups, especially at the community levels must be animated to play active roles in the </w:t>
      </w:r>
      <w:r>
        <w:rPr>
          <w:shd w:val="clear"/>
        </w:rPr>
        <w:t xml:space="preserve">implementation of some aspect of the Development Plan e.g. capacity building for zonal Council Members </w:t>
      </w:r>
      <w:r>
        <w:rPr>
          <w:shd w:val="clear"/>
        </w:rPr>
        <w:t xml:space="preserve">to participate in Needs Assessment.</w:t>
      </w:r>
    </w:p>
    <w:p>
      <w:pPr>
        <w:pStyle w:val="PO7"/>
        <w:spacing w:lineRule="auto" w:line="360"/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</w:pPr>
      <w:bookmarkStart w:id="6" w:name="_Toc239421242"/>
      <w:r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  <w:t xml:space="preserve">4.0 RESOURCE UTILIZATION</w:t>
      </w:r>
      <w:bookmarkEnd w:id="6"/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With limited financial, material and human resources, it is not possible to satisfy the needs of all </w:t>
      </w:r>
      <w:r>
        <w:rPr>
          <w:shd w:val="clear"/>
        </w:rPr>
        <w:t xml:space="preserve">communities within the plan period. The Assembly therefore adopts a strategic approach to resource </w:t>
      </w:r>
      <w:r>
        <w:rPr>
          <w:shd w:val="clear"/>
        </w:rPr>
        <w:t xml:space="preserve">allocation that prioritizes equity, impact and sustainability. Projects will be sited strategically to serve </w:t>
      </w:r>
      <w:r>
        <w:rPr>
          <w:shd w:val="clear"/>
        </w:rPr>
        <w:t xml:space="preserve">multiple communities wherever possible. 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Secondly, projects selected should serve the felt needs of the communities and not political interest. The </w:t>
      </w:r>
      <w:r>
        <w:rPr>
          <w:shd w:val="clear"/>
        </w:rPr>
        <w:t xml:space="preserve">2026 plan has been validated through shareholder consultations to ensure that every project and </w:t>
      </w:r>
      <w:r>
        <w:rPr>
          <w:shd w:val="clear"/>
        </w:rPr>
        <w:t xml:space="preserve">programme responds to community demand. 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Thirdly, the Assembly will enforce value for money principles in procurement and contract management. </w:t>
      </w:r>
      <w:r>
        <w:rPr>
          <w:shd w:val="clear"/>
        </w:rPr>
        <w:t xml:space="preserve">All contracts above thresholds will be competitively tendered, and works will be supervised by qualified </w:t>
      </w:r>
      <w:r>
        <w:rPr>
          <w:shd w:val="clear"/>
        </w:rPr>
        <w:t xml:space="preserve">technical staff to ensure quality and durability.</w:t>
      </w:r>
    </w:p>
    <w:p>
      <w:pPr>
        <w:pStyle w:val="PO7"/>
        <w:spacing w:lineRule="auto" w:line="360"/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</w:pPr>
      <w:bookmarkStart w:id="7" w:name="_Toc239421243"/>
      <w:r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  <w:t xml:space="preserve">5.0 INSTITUTIONAL LINKAGES</w:t>
      </w:r>
      <w:bookmarkEnd w:id="7"/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As much as possible, institutional capacity building should be pursued. The District Assembly should </w:t>
      </w:r>
      <w:r>
        <w:rPr>
          <w:shd w:val="clear"/>
        </w:rPr>
        <w:t xml:space="preserve">assume the overall central co-coordinating role while outlining institutional responsibilities in conjunction </w:t>
      </w:r>
      <w:r>
        <w:rPr>
          <w:shd w:val="clear"/>
        </w:rPr>
        <w:t xml:space="preserve">with the various departments and other governance agencies. This is to get them actively involved in </w:t>
      </w:r>
      <w:r>
        <w:rPr>
          <w:shd w:val="clear"/>
        </w:rPr>
        <w:t xml:space="preserve">implementation on the plan in its totality.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Agencies outside must also be consulted to give assistance to the Assembly’s own implementation and </w:t>
      </w:r>
      <w:r>
        <w:rPr>
          <w:shd w:val="clear"/>
        </w:rPr>
        <w:t xml:space="preserve">monitoring efforts. Research institutions such as BIRD, BRRI, CSIR, and university faculties etc could be of </w:t>
      </w:r>
      <w:r>
        <w:rPr>
          <w:shd w:val="clear"/>
        </w:rPr>
        <w:t xml:space="preserve">immense help in the areas of planning, training and advice on project implementation, monitoring and </w:t>
      </w:r>
      <w:r>
        <w:rPr>
          <w:shd w:val="clear"/>
        </w:rPr>
        <w:t>evaluation.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In order to achieve some level of integration, planning and project implementation have to be work out in </w:t>
      </w:r>
      <w:r>
        <w:rPr>
          <w:shd w:val="clear"/>
        </w:rPr>
        <w:t xml:space="preserve">such a way that the development of one sector is in linked to the other sectors of the economy of the </w:t>
      </w:r>
      <w:r>
        <w:rPr>
          <w:shd w:val="clear"/>
        </w:rPr>
        <w:t xml:space="preserve">District. The development of feeder roads is meant to positively affect agriculture production. And reduce </w:t>
      </w:r>
      <w:r>
        <w:rPr>
          <w:shd w:val="clear"/>
        </w:rPr>
        <w:t xml:space="preserve">post-harvest losses. Much the same, the provision of portable water is expected to supplement health </w:t>
      </w:r>
      <w:r>
        <w:rPr>
          <w:shd w:val="clear"/>
        </w:rPr>
        <w:t xml:space="preserve">delivery in the District. The construction of school infrastructure is paired with WASH facilities to create </w:t>
      </w:r>
      <w:r>
        <w:rPr>
          <w:shd w:val="clear"/>
        </w:rPr>
        <w:t xml:space="preserve">hygienic learning environments. These inter-sectoral linkages are deliberately cultivated to maximise </w:t>
      </w:r>
      <w:r>
        <w:rPr>
          <w:shd w:val="clear"/>
        </w:rPr>
        <w:t xml:space="preserve">development impact.</w:t>
      </w:r>
    </w:p>
    <w:p>
      <w:pPr>
        <w:pStyle w:val="PO7"/>
        <w:spacing w:lineRule="auto" w:line="360"/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</w:pPr>
      <w:bookmarkStart w:id="8" w:name="_Toc239421244"/>
      <w:r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  <w:t xml:space="preserve">6.0 PROJECT SELECTION CONSIDERATION</w:t>
      </w:r>
      <w:bookmarkEnd w:id="8"/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A pragmatic approach guided in the selection and location of projects. This was necessary to avoid undue </w:t>
      </w:r>
      <w:r>
        <w:rPr>
          <w:shd w:val="clear"/>
        </w:rPr>
        <w:t xml:space="preserve">pressure from communities and authorities, and ensure that limited resources were directed to where they </w:t>
      </w:r>
      <w:r>
        <w:rPr>
          <w:shd w:val="clear"/>
        </w:rPr>
        <w:t xml:space="preserve">would generate the greatest public good. The process involved open for communal participation in the </w:t>
      </w:r>
      <w:r>
        <w:rPr>
          <w:shd w:val="clear"/>
        </w:rPr>
        <w:t xml:space="preserve">needs assessment procedure with communities ranking their priorities through participatory rural </w:t>
      </w:r>
      <w:r>
        <w:rPr>
          <w:shd w:val="clear"/>
        </w:rPr>
        <w:t xml:space="preserve">appraisal techniques. Care was also taken to ensure equitable distribution of projects across the district’s </w:t>
      </w:r>
      <w:r>
        <w:rPr>
          <w:shd w:val="clear"/>
        </w:rPr>
        <w:t xml:space="preserve">electoral areas and ecological zones to ensure that:</w:t>
      </w:r>
    </w:p>
    <w:p>
      <w:pPr>
        <w:pStyle w:val="PO26"/>
        <w:numPr>
          <w:numId w:val="2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Selected projects respond to the priority needs of the community.</w:t>
      </w:r>
    </w:p>
    <w:p>
      <w:pPr>
        <w:pStyle w:val="PO26"/>
        <w:numPr>
          <w:numId w:val="2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Project selected are accessible to the majority of the people in the community.</w:t>
      </w:r>
    </w:p>
    <w:p>
      <w:pPr>
        <w:pStyle w:val="PO26"/>
        <w:numPr>
          <w:numId w:val="2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Technology choice for implementation is user friendly.</w:t>
      </w:r>
    </w:p>
    <w:p>
      <w:pPr>
        <w:pStyle w:val="PO26"/>
        <w:numPr>
          <w:numId w:val="2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Resources for implementation is available</w:t>
      </w:r>
    </w:p>
    <w:p>
      <w:pPr>
        <w:pStyle w:val="PO26"/>
        <w:numPr>
          <w:numId w:val="2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That the project will be sustainable (e.g.) a school must have encouraged enrolment rate.</w:t>
      </w:r>
    </w:p>
    <w:p>
      <w:pPr>
        <w:pStyle w:val="PO26"/>
        <w:numPr>
          <w:numId w:val="2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The project is aimed at poverty reduction in the District.</w:t>
      </w:r>
    </w:p>
    <w:p>
      <w:pPr>
        <w:pStyle w:val="PO7"/>
        <w:spacing w:lineRule="auto" w:line="360"/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</w:pPr>
      <w:bookmarkStart w:id="9" w:name="_Toc239421245"/>
      <w:r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  <w:t xml:space="preserve">6.1 PROJECT FINANCING</w:t>
      </w:r>
      <w:bookmarkEnd w:id="9"/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The implementation of projects and programmes under the 4-year Medium Term plan will require </w:t>
      </w:r>
      <w:r>
        <w:rPr>
          <w:shd w:val="clear"/>
        </w:rPr>
        <w:t xml:space="preserve">substantial financial resources. Obviously, such financial resources cannot be generated within the District </w:t>
      </w:r>
      <w:r>
        <w:rPr>
          <w:shd w:val="clear"/>
        </w:rPr>
        <w:t xml:space="preserve">alone over the planned period. Even with its share of the Common Fund, the District will still need </w:t>
      </w:r>
      <w:r>
        <w:rPr>
          <w:shd w:val="clear"/>
        </w:rPr>
        <w:t xml:space="preserve">supplementary funding from central government and other agencies.</w:t>
      </w:r>
    </w:p>
    <w:p>
      <w:pPr>
        <w:spacing w:lineRule="auto" w:line="360"/>
        <w:rPr>
          <w:shd w:val="clear"/>
        </w:rPr>
      </w:pPr>
      <w:r>
        <w:rPr>
          <w:shd w:val="clear"/>
        </w:rPr>
        <w:t xml:space="preserve">The main sources therefore should include: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The District Assembly sources (IGF)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Central Government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>GETFUND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MPs Common Fund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>LEAP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 xml:space="preserve">United Nations Capital Development Fund (UNCDF)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>DACF-RFG</w:t>
      </w:r>
    </w:p>
    <w:p>
      <w:pPr>
        <w:pStyle w:val="PO26"/>
        <w:numPr>
          <w:numId w:val="4"/>
          <w:ilvl w:val="0"/>
        </w:numPr>
        <w:spacing w:lineRule="auto" w:line="360"/>
        <w:rPr>
          <w:shd w:val="clear"/>
        </w:rPr>
      </w:pPr>
      <w:r>
        <w:rPr>
          <w:shd w:val="clear"/>
        </w:rPr>
        <w:t>DACF</w:t>
      </w:r>
    </w:p>
    <w:p>
      <w:pPr>
        <w:pStyle w:val="PO7"/>
        <w:spacing w:lineRule="auto" w:line="360"/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</w:pPr>
      <w:bookmarkStart w:id="10" w:name="_Toc239421246"/>
      <w:r>
        <w:rPr>
          <w:b w:val="1"/>
          <w:color w:val="auto"/>
          <w:sz w:val="24"/>
          <w:szCs w:val="24"/>
          <w:shd w:val="clear"/>
          <w:rFonts w:ascii="Times New Roman" w:hAnsi="Times New Roman" w:cs="Times New Roman"/>
        </w:rPr>
        <w:t xml:space="preserve">7.0 PROGRAMME BUDGETING SYSTEM</w:t>
      </w:r>
      <w:bookmarkEnd w:id="10"/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In order to successfully implement programmes and projects as spelt out in the plan. A programme </w:t>
      </w:r>
      <w:r>
        <w:rPr>
          <w:shd w:val="clear"/>
        </w:rPr>
        <w:t xml:space="preserve">budgeting system must be put in place and fully operationalised. Programme budgeting allows for </w:t>
      </w:r>
      <w:r>
        <w:rPr>
          <w:shd w:val="clear"/>
        </w:rPr>
        <w:t xml:space="preserve">allotment of adequate funding to different areas of the programme. This entails a clear description of the </w:t>
      </w:r>
      <w:r>
        <w:rPr>
          <w:shd w:val="clear"/>
        </w:rPr>
        <w:t xml:space="preserve">projects involved and matching of specific projects or programme budgeting is that is link to specific </w:t>
      </w:r>
      <w:r>
        <w:rPr>
          <w:shd w:val="clear"/>
        </w:rPr>
        <w:t xml:space="preserve">prioritize projects. Therefore, in reduction in allocation from the planned budget can be easily identified </w:t>
      </w:r>
      <w:r>
        <w:rPr>
          <w:shd w:val="clear"/>
        </w:rPr>
        <w:t xml:space="preserve">with a particular project, which easily leads to corresponding exclusion of specific projects rather than to </w:t>
      </w:r>
      <w:r>
        <w:rPr>
          <w:shd w:val="clear"/>
        </w:rPr>
        <w:t xml:space="preserve">squeezing all programmes inefficiently.</w:t>
      </w:r>
    </w:p>
    <w:p>
      <w:pPr>
        <w:jc w:val="both"/>
        <w:spacing w:lineRule="auto" w:line="360"/>
        <w:rPr>
          <w:shd w:val="clear"/>
        </w:rPr>
      </w:pPr>
      <w:r>
        <w:rPr>
          <w:shd w:val="clear"/>
        </w:rPr>
        <w:t xml:space="preserve">It must be noted that the effective and successful implementation of programmes under the Fanteakwa </w:t>
      </w:r>
      <w:r>
        <w:rPr>
          <w:shd w:val="clear"/>
        </w:rPr>
        <w:t xml:space="preserve">North District 4-year Medium Term Plan will depend heavily on the authority and capacity of the Assembly, </w:t>
      </w:r>
      <w:r>
        <w:rPr>
          <w:shd w:val="clear"/>
        </w:rPr>
        <w:t xml:space="preserve">and the participation and integration of all the people in all stages of the development process, namely, </w:t>
      </w:r>
      <w:r>
        <w:rPr>
          <w:shd w:val="clear"/>
        </w:rPr>
        <w:t xml:space="preserve">project planning, implementation, monitoring and evaluation.</w:t>
      </w:r>
    </w:p>
    <w:p>
      <w:pPr>
        <w:sectPr>
          <w:pgSz w:w="11906" w:h="16838" w:code="9"/>
          <w:pgMar w:top="900" w:left="1440" w:bottom="1440" w:right="1016" w:gutter="0"/>
          <w:pgNumType w:fmt="decimal"/>
          <w:pgBorders w:display="firstPage" w:offsetFrom="page" w:zOrder="front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docGrid w:type="default" w:linePitch="360" w:charSpace="0"/>
        </w:sectPr>
        <w:spacing w:lineRule="auto" w:line="360"/>
        <w:rPr>
          <w:shd w:val="clear"/>
        </w:rPr>
      </w:pPr>
      <w:r>
        <w:rPr>
          <w:shd w:val="clear"/>
        </w:rPr>
        <w:t xml:space="preserve">The tables that follow show the Annual Action Plan for Fanteakwa North District Assembly indicating </w:t>
      </w:r>
      <w:r>
        <w:rPr>
          <w:shd w:val="clear"/>
        </w:rPr>
        <w:t xml:space="preserve">specific project intervention for the year 2026 as planned</w:t>
      </w:r>
    </w:p>
    <w:p>
      <w:pPr>
        <w:pStyle w:val="PO9"/>
        <w:rPr>
          <w:shd w:val="clear"/>
        </w:rPr>
      </w:pPr>
      <w:bookmarkStart w:id="11" w:name="_Toc215573265"/>
      <w:bookmarkStart w:id="12" w:name="_Toc239421247"/>
      <w:r>
        <w:rPr>
          <w:b w:val="1"/>
          <w:color w:val="auto"/>
          <w:shd w:val="clear"/>
          <w:rFonts w:asciiTheme="majorBidi" w:hAnsiTheme="majorBidi"/>
        </w:rPr>
        <w:t xml:space="preserve">Table: 1 FANTEAKWA NORTH DISTRICT ASSEMBLY 2026 REVISED COMPOSITE ANNUAL ACTION PLAN</w:t>
      </w:r>
      <w:bookmarkEnd w:id="11"/>
      <w:bookmarkEnd w:id="12"/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16160" w:type="dxa"/>
        <w:tblInd w:w="-851" w:type="dxa"/>
        <w:tblLook w:val="0004A0" w:firstRow="1" w:lastRow="0" w:firstColumn="1" w:lastColumn="0" w:noHBand="0" w:noVBand="1"/>
        <w:tblLayout w:type="fixed"/>
      </w:tblPr>
      <w:tblGrid>
        <w:gridCol w:w="16160"/>
      </w:tblGrid>
      <w:tr>
        <w:trPr>
          <w:trHeight w:hRule="atleast" w:val="307"/>
          <w:hidden w:val="0"/>
        </w:trPr>
        <w:tc>
          <w:tcPr>
            <w:tcW w:type="dxa" w:w="16160"/>
            <w:tcMar>
              <w:left w:w="108" w:type="dxa"/>
              <w:right w:w="108" w:type="dxa"/>
            </w:tcMar>
            <w:vAlign w:val="bottom"/>
            <w:tcBorders>
              <w:bottom w:val="nil" w:color="auto"/>
              <w:left w:val="nil" w:color="auto"/>
              <w:right w:val="nil" w:color="auto"/>
              <w:top w:val="nil" w:color="auto"/>
            </w:tcBorders>
          </w:tcPr>
          <w:p>
            <w:pPr>
              <w:spacing w:lineRule="auto" w:line="240" w:after="0"/>
              <w:rPr>
                <w:b w:val="1"/>
                <w:shd w:val="clear"/>
                <w:rFonts w:ascii="Cambria" w:eastAsia="Times New Roman" w:hAnsi="Cambria"/>
              </w:rPr>
            </w:pPr>
          </w:p>
          <w:tbl>
            <w:tblID w:val="0"/>
            <w:tblPr>
              <w:tblStyle w:val="PO37"/>
              <w:tblCellMar>
                <w:left w:w="108" w:type="dxa"/>
                <w:top w:w="0" w:type="dxa"/>
                <w:right w:w="108" w:type="dxa"/>
                <w:bottom w:w="0" w:type="dxa"/>
              </w:tblCellMar>
              <w:tblW w:w="0" w:type="auto"/>
              <w:tblInd w:w="11" w:type="dxa"/>
              <w:tblLook w:val="0004A0" w:firstRow="1" w:lastRow="0" w:firstColumn="1" w:lastColumn="0" w:noHBand="0" w:noVBand="1"/>
              <w:tblLayout w:type="auto"/>
            </w:tblPr>
            <w:tblGrid>
              <w:gridCol w:w="554"/>
              <w:gridCol w:w="1811"/>
              <w:gridCol w:w="1298"/>
              <w:gridCol w:w="54"/>
              <w:gridCol w:w="506"/>
              <w:gridCol w:w="49"/>
              <w:gridCol w:w="480"/>
              <w:gridCol w:w="17"/>
              <w:gridCol w:w="6"/>
              <w:gridCol w:w="545"/>
              <w:gridCol w:w="77"/>
              <w:gridCol w:w="405"/>
              <w:gridCol w:w="105"/>
              <w:gridCol w:w="1153"/>
              <w:gridCol w:w="1258"/>
              <w:gridCol w:w="48"/>
              <w:gridCol w:w="1124"/>
              <w:gridCol w:w="107"/>
              <w:gridCol w:w="1014"/>
              <w:gridCol w:w="70"/>
              <w:gridCol w:w="1105"/>
              <w:gridCol w:w="6"/>
              <w:gridCol w:w="58"/>
              <w:gridCol w:w="1117"/>
              <w:gridCol w:w="57"/>
              <w:gridCol w:w="1036"/>
              <w:gridCol w:w="78"/>
              <w:gridCol w:w="1446"/>
            </w:tblGrid>
            <w:tr>
              <w:trPr>
                <w:trHeight w:hRule="atleast" w:val="233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Department/Unit/Agency: Education</w:t>
                  </w:r>
                </w:p>
              </w:tc>
            </w:tr>
            <w:tr>
              <w:trPr>
                <w:trHeight w:hRule="atleast" w:val="73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ind w:right="169" w:firstLine="0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Programme: Education Uplift</w:t>
                  </w:r>
                </w:p>
              </w:tc>
            </w:tr>
            <w:tr>
              <w:trPr>
                <w:trHeight w:hRule="atleast" w:val="73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ind w:right="169" w:firstLine="0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2: To Increase Net Enrolment Rate from 78% to 95% by 2029</w:t>
                  </w:r>
                </w:p>
              </w:tc>
            </w:tr>
            <w:tr>
              <w:trPr>
                <w:trHeight w:hRule="atleast" w:val="331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center"/>
                  <w:vMerge w:val="restart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center"/>
                  <w:vMerge w:val="restart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center"/>
                  <w:vMerge/>
                </w:tcPr>
                <w:p/>
              </w:tc>
              <w:tc>
                <w:tcPr>
                  <w:tcW w:type="dxa" w:w="1298"/>
                  <w:vAlign w:val="center"/>
                  <w:vMerge/>
                </w:tcPr>
                <w:p/>
              </w:tc>
              <w:tc>
                <w:tcPr>
                  <w:tcW w:type="dxa" w:w="560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top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top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Organise "My First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Day at school"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ceremony in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schools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All Basic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Schools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15,000.00</w:t>
                  </w: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Brilliant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but needy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students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bottom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198,715.0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0 (MP)</w:t>
                  </w:r>
                </w:p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4: To Improve Literacy and Numeracy Proficiency at the Primary Level from 95% to 100%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for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Science,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Technology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Mathematics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Education (STME)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ind w:right="169" w:firstLine="0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Programme: Community Voice, Better Governance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2: To Increase Citizens Satisfaction with Governance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Independence Day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Celebration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73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6: To Strengthen Public and Social Infrastructure.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3-unit KG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block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ancillary facility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(office, store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staff common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room)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Upper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Bosomtwe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514,280.25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3-unit KG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block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ancillary facility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(office, store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staff common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room)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Nyadie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642,120.00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6-unit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classroom block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with ancillary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facility (office,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store and staff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common room)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Amiawa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550,000.00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6-unit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classroom block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with ancillary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facility (office,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store and staff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common room)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Akoradako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741,307.97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3-unit JHS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block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ancillary facility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(office, store,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staff common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room)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Otuater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528,873.21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6-unit D/A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school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Odortom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150,390.00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6-unit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Classroom Block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with ancillary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facility (office,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store, and staff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common room)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Petefour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850,000.00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3-unit JHS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Block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ancillary facility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(office and store)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Akrumso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734,379.10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D/A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school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Agavedzi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6-Unit D/A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school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Sumuer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140,450.00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1No.6-unit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classroom block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with potable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water (borehole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fitted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handpump)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Meyiwa-Kro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19,908.00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1No.teachers’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quarters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mechanised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Meyiwa-Bos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anko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135,250.00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top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524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1No.3-unit KG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block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ancillary facilities,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3-seater toilet &amp; 2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-cuble urinal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Begoro Zion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72,500.00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18.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Principal office at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Begoro Health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Training College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Extension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Electricity Power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to the 3-Unit JHS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Block 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Otuater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65,000.00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191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Safe Water &amp; Sanitation Initiative</w:t>
                  </w:r>
                </w:p>
              </w:tc>
            </w:tr>
            <w:tr>
              <w:trPr>
                <w:trHeight w:hRule="atleast" w:val="223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jc w:val="both"/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5: To Increase Access to Safe Water and Sanitation by 90% of Communities in the District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2No. 5-Seater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W/C Toilet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Facility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Mechanized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Borehole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Otuater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Junior High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School &amp;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Nyadie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Primary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School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589,581.0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0(DACF-R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FG)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264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Health Department</w:t>
                  </w:r>
                </w:p>
              </w:tc>
            </w:tr>
            <w:tr>
              <w:trPr>
                <w:trHeight w:hRule="atleast" w:val="269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Healthy Lives for All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2: Educate 200 Communities on Malaria and HIV/AIDS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center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center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center"/>
                  <w:vMerge/>
                </w:tcPr>
                <w:p/>
              </w:tc>
              <w:tc>
                <w:tcPr>
                  <w:tcW w:type="dxa" w:w="1298"/>
                  <w:vAlign w:val="center"/>
                  <w:vMerge/>
                </w:tcPr>
                <w:p/>
              </w:tc>
              <w:tc>
                <w:tcPr>
                  <w:tcW w:type="dxa" w:w="560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top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top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Organise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HIV/AIDS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quarterly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committee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meetings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53,359.50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Carry out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HIV/AIDS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Awareness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Campaigns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53,359.50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175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NextGen Infrastructure Drive</w:t>
                  </w:r>
                </w:p>
              </w:tc>
            </w:tr>
            <w:tr>
              <w:trPr>
                <w:trHeight w:hRule="atleast" w:val="207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1: To Improve Access to Quality Health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compound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WASH facility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Obooho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CHPS Compound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Obooho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60,000.00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compound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mechanized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Miaso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compound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accommodation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Abertinso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1,029,901.4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compound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accommodation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Onuku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1,104,477.6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28.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Maternity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block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mechanised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Ahomahom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124,285.05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1No.maternity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home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mechanised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Abourso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124,285.05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1No.nurses'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quarters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mechanised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Adakope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222,391.80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compound with 65No. Health equipment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Feyiase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203,200.00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compound with 71No. Health equipment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Miaso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232,619.00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compound with 71No. Health equipment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Obooho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232,619.00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compound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Dedeso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200,758.00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CHPs compound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Amotare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105,430.62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1No.CHPs compound with 72No. Health equipment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Anyinase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65,000.00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5: To Improve Energy and ICT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Extension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electricity power to 2No.CHPs compound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Anyinase &amp;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Feyiase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65,000.00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GHS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Department of Social Welfare and Community Development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Integrated Child Protection &amp; Social Services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1: To Strengthen Child Protection Systems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38.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Carry out the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management of 4 cases and follow ups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4,000.00</w:t>
                  </w: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DSWCD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Monitor 10 Day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Care Centres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Selected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5,000.00</w:t>
                  </w: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DSWCD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Carry out ISSOP,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case management and referral pathway training for TWG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Selected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10,800.00</w:t>
                  </w: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DSWCD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2: To Provide Family &amp; Community Support Services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Identification,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Registration of PWD and support to PWDs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10No.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DSWCD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5: To Promote Advocacy, Awareness, and Community Engagement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Sensitize 5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communities on gender base violence/ Child Right and Protection and Child Case Management using the CP toolkits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5No.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4,500.00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8,500.00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DSWCD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70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Gender Desk</w:t>
                  </w:r>
                </w:p>
              </w:tc>
            </w:tr>
            <w:tr>
              <w:trPr>
                <w:trHeight w:hRule="atleast" w:val="188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Community Voice, Better Governance</w:t>
                  </w:r>
                </w:p>
              </w:tc>
            </w:tr>
            <w:tr>
              <w:trPr>
                <w:trHeight w:hRule="atleast" w:val="197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2: To Increase Citizens Satisfaction with Governance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  <w:vMerge w:val="restart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352"/>
                  <w:vAlign w:val="top"/>
                  <w:gridSpan w:val="2"/>
                  <w:vMerge w:val="restart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90"/>
                  <w:vAlign w:val="center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774"/>
                  <w:vAlign w:val="center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43"/>
                  <w:vAlign w:val="center"/>
                  <w:gridSpan w:val="5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560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352"/>
                  <w:vAlign w:val="top"/>
                  <w:gridSpan w:val="2"/>
                  <w:vMerge/>
                </w:tcPr>
                <w:p/>
              </w:tc>
              <w:tc>
                <w:tcPr>
                  <w:tcW w:type="dxa" w:w="55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480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645"/>
                  <w:vAlign w:val="center"/>
                  <w:gridSpan w:val="4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51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153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306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23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08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69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7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11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446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Undertake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community sensitization on Gender Based Violence (Child labour and abuse, neglect and marriage) using child protection tool kits</w:t>
                  </w:r>
                </w:p>
              </w:tc>
              <w:tc>
                <w:tcPr>
                  <w:tcW w:type="dxa" w:w="1352"/>
                  <w:vAlign w:val="top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Obooho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Ahomahomasu, Dedeso</w:t>
                  </w:r>
                </w:p>
                <w:p>
                  <w:pPr>
                    <w:spacing w:lineRule="auto" w:line="360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 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0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645"/>
                  <w:vAlign w:val="center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1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53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306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23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4,000.00</w:t>
                  </w:r>
                </w:p>
              </w:tc>
              <w:tc>
                <w:tcPr>
                  <w:tcW w:type="dxa" w:w="108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69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1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Gender</w:t>
                  </w:r>
                </w:p>
              </w:tc>
              <w:tc>
                <w:tcPr>
                  <w:tcW w:type="dxa" w:w="1446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World Vision,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SWCD, GES, NCCE, CHRAJ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44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Undertake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Training for community child protection and district child protection committee on inter-sectoral standard operating procedures on case management and referral pathways</w:t>
                  </w:r>
                </w:p>
              </w:tc>
              <w:tc>
                <w:tcPr>
                  <w:tcW w:type="dxa" w:w="1352"/>
                  <w:vAlign w:val="top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Obooho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Ahoman </w:t>
                  </w:r>
                </w:p>
              </w:tc>
              <w:tc>
                <w:tcPr>
                  <w:tcW w:type="dxa" w:w="55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0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645"/>
                  <w:vAlign w:val="center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1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53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306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23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10,000.00</w:t>
                  </w:r>
                </w:p>
              </w:tc>
              <w:tc>
                <w:tcPr>
                  <w:tcW w:type="dxa" w:w="108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69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1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Gender</w:t>
                  </w:r>
                </w:p>
              </w:tc>
              <w:tc>
                <w:tcPr>
                  <w:tcW w:type="dxa" w:w="1446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World Vision,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SWCD, GES, NCCE, CHRAJ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45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for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children with disability with assistive device  </w:t>
                  </w:r>
                </w:p>
              </w:tc>
              <w:tc>
                <w:tcPr>
                  <w:tcW w:type="dxa" w:w="1352"/>
                  <w:vAlign w:val="top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Ten (10)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children in three (3) communities</w:t>
                  </w:r>
                </w:p>
              </w:tc>
              <w:tc>
                <w:tcPr>
                  <w:tcW w:type="dxa" w:w="55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0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645"/>
                  <w:vAlign w:val="center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1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53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306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5,000.00</w:t>
                  </w:r>
                </w:p>
              </w:tc>
              <w:tc>
                <w:tcPr>
                  <w:tcW w:type="dxa" w:w="123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15,000.00</w:t>
                  </w:r>
                </w:p>
              </w:tc>
              <w:tc>
                <w:tcPr>
                  <w:tcW w:type="dxa" w:w="108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69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14"/>
                  <w:vAlign w:val="center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Gender</w:t>
                  </w:r>
                </w:p>
              </w:tc>
              <w:tc>
                <w:tcPr>
                  <w:tcW w:type="dxa" w:w="1446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World Vision,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SWCD, Salvation Rehabilitation Centre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46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Organise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Workshop training for stakeholder on gender mainstreaming and it related issues</w:t>
                  </w:r>
                </w:p>
              </w:tc>
              <w:tc>
                <w:tcPr>
                  <w:tcW w:type="dxa" w:w="1352"/>
                  <w:vAlign w:val="top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Selected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stakeholder’s</w:t>
                  </w:r>
                </w:p>
              </w:tc>
              <w:tc>
                <w:tcPr>
                  <w:tcW w:type="dxa" w:w="55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0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645"/>
                  <w:vAlign w:val="center"/>
                  <w:gridSpan w:val="4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1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53"/>
                  <w:vAlign w:val="top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306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1,000.00</w:t>
                  </w:r>
                </w:p>
              </w:tc>
              <w:tc>
                <w:tcPr>
                  <w:tcW w:type="dxa" w:w="123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6,000.00</w:t>
                  </w:r>
                </w:p>
              </w:tc>
              <w:tc>
                <w:tcPr>
                  <w:tcW w:type="dxa" w:w="1084"/>
                  <w:vAlign w:val="top"/>
                  <w:gridSpan w:val="2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69"/>
                  <w:vAlign w:val="top"/>
                  <w:gridSpan w:val="3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14"/>
                  <w:vAlign w:val="center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Gender</w:t>
                  </w:r>
                </w:p>
              </w:tc>
              <w:tc>
                <w:tcPr>
                  <w:tcW w:type="dxa" w:w="1446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World Vision,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SWCD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47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Provide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Legal/financial support for victims of sexual and gender base violence</w:t>
                  </w:r>
                </w:p>
              </w:tc>
              <w:tc>
                <w:tcPr>
                  <w:tcW w:type="dxa" w:w="1352"/>
                  <w:vAlign w:val="top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Victims</w:t>
                  </w:r>
                </w:p>
              </w:tc>
              <w:tc>
                <w:tcPr>
                  <w:tcW w:type="dxa" w:w="55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0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645"/>
                  <w:vAlign w:val="center"/>
                  <w:gridSpan w:val="4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1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53"/>
                  <w:vAlign w:val="top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306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2,500.00</w:t>
                  </w:r>
                </w:p>
              </w:tc>
              <w:tc>
                <w:tcPr>
                  <w:tcW w:type="dxa" w:w="123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3,500.00</w:t>
                  </w:r>
                </w:p>
              </w:tc>
              <w:tc>
                <w:tcPr>
                  <w:tcW w:type="dxa" w:w="1084"/>
                  <w:vAlign w:val="top"/>
                  <w:gridSpan w:val="2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69"/>
                  <w:vAlign w:val="top"/>
                  <w:gridSpan w:val="3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14"/>
                  <w:vAlign w:val="center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Gender</w:t>
                  </w:r>
                </w:p>
              </w:tc>
              <w:tc>
                <w:tcPr>
                  <w:tcW w:type="dxa" w:w="1446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World Vision,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SWCD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48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Establish day care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centre to support working nursing mother</w:t>
                  </w:r>
                </w:p>
              </w:tc>
              <w:tc>
                <w:tcPr>
                  <w:tcW w:type="dxa" w:w="1352"/>
                  <w:vAlign w:val="top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Selected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Community </w:t>
                  </w:r>
                </w:p>
              </w:tc>
              <w:tc>
                <w:tcPr>
                  <w:tcW w:type="dxa" w:w="55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0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645"/>
                  <w:vAlign w:val="center"/>
                  <w:gridSpan w:val="4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1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53"/>
                  <w:vAlign w:val="top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306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225,000.00</w:t>
                  </w:r>
                </w:p>
              </w:tc>
              <w:tc>
                <w:tcPr>
                  <w:tcW w:type="dxa" w:w="123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84"/>
                  <w:vAlign w:val="top"/>
                  <w:gridSpan w:val="2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69"/>
                  <w:vAlign w:val="top"/>
                  <w:gridSpan w:val="3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14"/>
                  <w:vAlign w:val="center"/>
                  <w:gridSpan w:val="2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Gender</w:t>
                  </w:r>
                </w:p>
              </w:tc>
              <w:tc>
                <w:tcPr>
                  <w:tcW w:type="dxa" w:w="1446"/>
                  <w:vAlign w:val="center"/>
                </w:tcPr>
                <w:p>
                  <w:pPr>
                    <w:jc w:val="center"/>
                    <w:rPr>
                      <w:shd w:val="clear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World Vision,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SWCD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Physical Planning Department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NextGen Infrastructure Drive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7: To Ensure Sustainability and Maintenance of Infrastructure.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49.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Preparation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District Spatial Development Framework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PPD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Implementation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Street Naming and Property Addressing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PPD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Preparation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Planning Schemes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PPD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Public education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on Permitting and Local Plan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PPD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Registration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Assembly Land Banks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30,000.00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PPD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Monitoring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Development Structures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8,000.00</w:t>
                  </w: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PPD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Works Department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NextGen Infrastructure Drive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3: To Expand Water and Sanitation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Repair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maintenance of boreholes (20No. non-functional boreholes fitted with handpump and mechanized)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370,000.00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2600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Drilling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mechanization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13No. Borehole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with rambo 400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overhead tank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Nakpanya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Odortom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Dorminase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Besebuom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Sukuma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Owusukrom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Addokrom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Papramanta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Agyenamen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Begoro Zongo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1,430,000.0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Drilling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mechanization of 1No. Borehole with rambo 400 overhead tank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FNDA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Premises-Begoro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104,398.75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59.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10-seater WC with mechanised 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Begoro-Zon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99,294.72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1No.community mechanised 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Ampasakyi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75,000.00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4: To Enhance Transportation and Road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Drainage System-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7.0m culvert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Apesika-Naa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 Road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334,379.10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Supervision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reshaping of Feeder roads (15.00Km)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maintenance of selected roads in the district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400,000.00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Drainage System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(Quarterly desilting, cleansing and fumigation of drains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Begoro,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Feyiase, Koradaso, Akoradarko, Ahomahomaso, Nteso, etc.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6: To Strengthen Public and Social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concrete pavement slab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FNDA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premises 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900,000.00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slaughter house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75,000.00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7: To Ensure Sustainability and Maintenance of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Supervision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District Assembly Projects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Environmental Health and Sanitation Unit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Safe Water &amp; Sanitation Initiative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2: To Improve Access of Households to Improved Sanitation Facilities by 80%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68.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implementation of Community Led Total Sanitation (CLTS)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233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</w:pPr>
                  <w:r>
                    <w:rPr>
                      <w:i w:val="1"/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Objective 3: To Reduce the Incidence of Waterborne Diseases by 40% by 2029 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69.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Carry out District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wide Fumigation exercise day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448,219.61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4: To Undertake 200 Hygiene Education Campaigns in 200 Communities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Organisation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National Sanitation Day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Evacuation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refuse dumps and maintenance of final dumping site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450,000.00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Sanitation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improvement package (SIP)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464,159.49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5: To Increase Access to Safe Water and Sanitation by 90% of Communities in the District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sanitary equipment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70,000.00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Safe Water &amp; Sanitation Initiative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To Increase Access to Safe Water and Sanitation by 90% of Communities in the District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Provision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counterpart funding for Sustainable WASH financing Project (World Vision)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World Vision,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Vision Fund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NADMO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Eco-Resilient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Reduction in Climate-Related Livelihood Losses by 50%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Undertake climate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change and its impact activities (tree planting exercise, embarking on early warning system and general public education on climate impact and bagre dam spillage)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90,000.00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NADMO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Celebrate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International Day for Disaster Risk Reduction (IDDRR)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Begoro &amp;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Ahomahomaso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5,500.00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NADMO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58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77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Conduct Hazard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Identification exercise in 5No. communities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7,400.00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NADMO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Statistics Department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Community Voice, Better Governance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To Enhance Citizen’s Participation in Governance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78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Administrative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data updates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2,500.00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6,500.00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Statistics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79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Data collection on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public transport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Statistics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GPRTU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Central Administration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Community Voice, Better Governance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To Enhance Citizen’s Participation in Governance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18"/>
                      <w:szCs w:val="18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80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Website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Social Media Management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6,200.00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81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Software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Hardware Maintenance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82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IT Technical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and Training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83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Installation of Conferencing Equipment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59,000.00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(DACF-RFG)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84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Installation of Starlink and accessories, including Cat6 cable box, activation and installation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16,000.00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(DACF-RFG)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two (2) HP 240HR G10 Core 120U Laptops (8GB RAM, 512GB SSD, 14-inch) for official use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24,000.00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(DACF-RFG)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MIS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100No.Hexagonal tables and chairs for KG schools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518,400.00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Procurem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ent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350No. dual desks for public primary schools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756,000.00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Procurem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ent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88.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280No. Mono Desks for JHS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436,800.00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Procurem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ent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89.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106No. tables and chairs for basic school teachers (JHS teachers)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423,179.10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Procurem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ent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GES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90.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Undertake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compliance, performance, quality assurance, financial and IT audit – NACAP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IA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91.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DPCU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activities and statutory meetings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DPCU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Undertake 4No.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Monitoring &amp; Evaluation activities.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62,170.42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DPCU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93.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Preparation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2027 Composite Budget and Annual Action Plan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DPCU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94.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Popular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participation in Governance (MMDCEs community engagement and townhall meetings)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95.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Institutions/Orga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nisations/Traditional Authorities Intervention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210,000.0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96.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Community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Development support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97.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Food Aid to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deprived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families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NADMO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98.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for Youth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Development (skills training)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BAC, NYA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99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Business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Development (support for petty traders)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80,000.00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BAC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100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Strengthening sub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-structures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All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substructures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101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Payment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NALAG and subscription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68,300.13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2: To Increase Citizens' Satisfaction with Governance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2.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Provision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counterpart funding, sensitization, and monitoring of Advocate for Community Alternatives (ACA) programmes in six (6) communities to promote community development initiatives.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6no.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 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ACA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103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Office fittings, Stationery and Equipment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Procurem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ent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hd w:val="clear"/>
                      <w:rFonts w:ascii="Cambria" w:eastAsia="Times New Roman" w:hAnsi="Cambria"/>
                    </w:rPr>
                    <w:t xml:space="preserve">Programme: NextGen Infrastructure Drive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4: To Enhance Transportation and Road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104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Bridge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160,000.0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5: To Improve Energy and ICT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Electricity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Extension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ECG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6: To Strengthen Public and Social Infrastructure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105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Police Station with Mechanised Borehole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Ahomahom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160,000.0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0(MP)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106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furnishing of Assembly Block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914,182.64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107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Rehabilitation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office building and structures (facelifting of Agric. Department and other bungalows)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108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highlight w:val="yellow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furnishing of DCE's bungalow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109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Renovation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Agric Director's Bungalow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145,477.56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110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 2- Bedroom, 2-Storey Semi-Detached Bungalow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900,000.00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111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security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operations in the district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7: To Ensure Sustainability and Maintenance of Infrastructure.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112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Maintenance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150No. streetlights and accessories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225,000.00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113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Maintenance,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insurance, running expenses of official vehicles and other equipment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114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Logistical support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to decentralised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departments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Programme: Safe Water &amp; Sanitation Initiative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Objective 5: To Increase Access to Safe Water and Sanitation by 90% of Communities in the District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sanitary tools and equipment including Veronica buckets for Public Schools and Health Centres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Procurem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ent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Procurement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2No. skip refuse containers 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110,000.00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Procurem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ent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DEHU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117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Hiring of 45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sanitary labourers (Sweepers)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192,000.00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HR/DEHU</w:t>
                  </w:r>
                </w:p>
              </w:tc>
            </w:tr>
            <w:tr>
              <w:trPr>
                <w:trHeight w:hRule="atleast" w:val="80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Finance Department</w:t>
                  </w:r>
                </w:p>
              </w:tc>
            </w:tr>
            <w:tr>
              <w:trPr>
                <w:trHeight w:hRule="atleast" w:val="73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Rising Revenue Initiative</w:t>
                  </w:r>
                </w:p>
              </w:tc>
            </w:tr>
            <w:tr>
              <w:trPr>
                <w:trHeight w:hRule="atleast" w:val="262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To Increase IGF by 70% by December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118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Deployment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digital tools for revenue collection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Budget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119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Revamp 1no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existing old markets along the banks of the lakes with the view of widening tax net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2No.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Budget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120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Create access to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river bank for cattle owners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Selected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Communities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121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Intensify monthly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collection of revenue from occupants of official bungalows, stores and stalls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23,000.00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19,000.00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179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2: Reduce Revenue Leakages by 70%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122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Strengthening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monitoring, evaluation, accountability and learning (MEAL)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10,000.00</w:t>
                  </w: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Budget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123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Publication/Gazet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te of Assembly’s By-Laws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3: Identify and Capture 80% of New Revenue Items in Database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124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Update of revenue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database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7,000.00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Budget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Register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renew 78 cattle owners’ license in the district annually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Dedeso,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Akoradarko, Miaso, 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16,000.00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Budget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4:Reduce Revenue Arrears by 70%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Resource building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inspectorate unit monthly to ensure all builders obtain permit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8,400.00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127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Resource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operationalize sub-structures quarterly   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Six (6) sub-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structures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6,000.00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128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Maintenance of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cesspool emptier for dislodging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6: Conduct Sixteen Public Sensitization on the Need to Pay Rate to the Assembly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129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Public education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on paying rate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Budget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130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Register and </w:t>
                  </w:r>
                  <w:r>
                    <w:rPr>
                      <w:color w:val="000000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screen 1,250 food and drink vendors within first quarter each year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12,000.00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DFD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EHSU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National Youth Authority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Building Local Wealth 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3: To Increase the Income of Average Households by 40%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131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Sensitization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programme on cyber security organised for 2000 school learners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4,500.00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(DP)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NYA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Births and Death Registry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Integrated Child Protection &amp; Social Services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3: To Improve Access to Essential Social Services for Vulnerable Children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132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Organise mobile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registration exercises in highly populated communities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Ahomahom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aso, Begoro, Dedeso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1,000.00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B&amp;D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5: To Promote Advocacy, Awareness, and Community Engagement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133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Public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sensitisation &amp; awareness on the early registration of birth and death within the communities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3,500.00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B&amp;D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Human Resource Department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Community Voice, Better Governance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To Enhance Citizen’s Participation in Governance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134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Capacity Building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Workshop for 43 Assembly Members on Assembly Protocols, Rules of Procedure, Roles and Responsibilities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42,874.18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(DACF-RFG)</w:t>
                  </w: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HR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Capacity Building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workshop for 30 technical backstopping and application of the dLRev software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top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35,000.00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(DACF-RFG)</w:t>
                  </w: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 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HR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2: To Increase Citizens Satisfaction with Governance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Capacity Building:           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a) Training on Basic M&amp;E Reporting               b) Training on Organizational Development                   c) Training on Assembly by-laws                            d) Training on LGS Performance Management Systems &amp; Performa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nce Contract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HR 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Department/Unit/Agency: Youth Employment Agency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Programme: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 </w:t>
                  </w: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Building Local Wealth 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 To Increase Youth and Women Engaged in Productive Enterprises by 40%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To Increase the Income of Average Households by 40%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137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Monitoring-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Community Protection Assistants, Fire Service Assistants, Community Medical First Respondents, Community Education Teaching Assistants, Community Health Workers, Prison Service Assistants, Skills learners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e, Nsawam &amp; Koforidua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6,000.00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5,800.00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YEA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Department/Unit/Agency: Agriculture Department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Programme: AgriWealth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To Improve the Adoption of New Farming Practices (Climate-Smart Agriculture) by 60% of Farmers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center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52"/>
                  <w:vAlign w:val="center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45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Conduct one (1)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Research Extension Farmer Linkage Committee (RELC) Planning session &amp; APRS for 50 Stakeholders by April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1,500.000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Train farmers on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Climate Smart Agricultural practices by June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500.00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1952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Conduct 2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monitoring and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supervision visits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on all planned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activities in the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District by DDOs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&amp; 1 DDA by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December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8,00.00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136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Carry out 4,800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Home and Farm Visits by AEAs (Provide Direct Extension Services to Farmers /FBOs through regular visits to disseminate improved Agriculture) and supervised by DAOs and DDA by December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top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2: To Increase Household Income from Agriculture by 40%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137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Train farmers on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post-harvest management of grains and cereals by March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3,000.00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138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activities under government flagship programs by end of December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10,000.00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138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Promote value-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added products in the District at the Annual Commodity Satellite Market Fair, Koforidua by September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Koforidua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7,000.00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139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Organise 1no. 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 xml:space="preserve">annual Farmers Day celebration by December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1no.commu</w:t>
                  </w: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nity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100,000.00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AGRIC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3: To Increase the Income of Average Households by 40%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140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Design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construction of 24-Hour Economy Model Markets 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Begoro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5,335,947.7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5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DWD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141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Completion of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1No.cassava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processing shed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with office, store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and 1No.solar-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powered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mechanised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borehole with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overhead tank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Nteso No.1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200,000.00</w:t>
                  </w: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BAC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Department/Unit/Agency: Business Advisory Agency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Programme: Building Local Wealth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1:  To Increase Youth and Women Engaged in Productive Enterprises by 40% by 2029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811"/>
                  <w:vAlign w:val="top"/>
                  <w:vMerge w:val="restart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Project</w:t>
                  </w:r>
                </w:p>
              </w:tc>
              <w:tc>
                <w:tcPr>
                  <w:tcW w:type="dxa" w:w="1298"/>
                  <w:vAlign w:val="top"/>
                  <w:vMerge w:val="restart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Location</w:t>
                  </w:r>
                </w:p>
              </w:tc>
              <w:tc>
                <w:tcPr>
                  <w:tcW w:type="dxa" w:w="2139"/>
                  <w:vAlign w:val="top"/>
                  <w:gridSpan w:val="9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Time Frame</w:t>
                  </w:r>
                </w:p>
              </w:tc>
              <w:tc>
                <w:tcPr>
                  <w:tcW w:type="dxa" w:w="4809"/>
                  <w:vAlign w:val="top"/>
                  <w:gridSpan w:val="7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Cost</w:t>
                  </w:r>
                </w:p>
              </w:tc>
              <w:tc>
                <w:tcPr>
                  <w:tcW w:type="dxa" w:w="2356"/>
                  <w:vAlign w:val="top"/>
                  <w:gridSpan w:val="5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Project Status</w:t>
                  </w:r>
                </w:p>
              </w:tc>
              <w:tc>
                <w:tcPr>
                  <w:tcW w:type="dxa" w:w="2617"/>
                  <w:vAlign w:val="top"/>
                  <w:gridSpan w:val="4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Implementing Institution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top"/>
                  <w:vMerge/>
                </w:tcPr>
                <w:p/>
              </w:tc>
              <w:tc>
                <w:tcPr>
                  <w:tcW w:type="dxa" w:w="1811"/>
                  <w:vAlign w:val="top"/>
                  <w:vMerge/>
                </w:tcPr>
                <w:p/>
              </w:tc>
              <w:tc>
                <w:tcPr>
                  <w:tcW w:type="dxa" w:w="1298"/>
                  <w:vAlign w:val="top"/>
                  <w:vMerge/>
                </w:tcPr>
                <w:p/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Q1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Q2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Q3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Q4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GoG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DACF</w:t>
                  </w: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IGF</w:t>
                  </w: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Other</w:t>
                  </w: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New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Ongoing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Lead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>Collaborating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b w:val="1"/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142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Technical and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Skills training in Food and Fruit Processing for 100No. Youths in Local Business Associations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BAC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143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Trainees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in Food and Fruit Processing with Start-up kits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200,000.00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BAC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15584"/>
                  <w:vAlign w:val="top"/>
                  <w:gridSpan w:val="28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i w:val="1"/>
                      <w:b w:val="1"/>
                      <w:sz w:val="20"/>
                      <w:szCs w:val="20"/>
                      <w:shd w:val="clear"/>
                      <w:rFonts w:ascii="Cambria" w:hAnsi="Cambria"/>
                    </w:rPr>
                    <w:t xml:space="preserve">Objective 2: To Support at least 60% of Local SMEs with Training and Credit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jc w:val="center"/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144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Management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Training in Business Management and Financial Literacy for 100No. Youths in Local Business Associations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15,000.00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BAC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  <w:tr>
              <w:trPr>
                <w:trHeight w:hRule="atleast" w:val="346"/>
                <w:hidden w:val="0"/>
              </w:trPr>
              <w:tc>
                <w:tcPr>
                  <w:tcW w:type="dxa" w:w="554"/>
                  <w:vAlign w:val="center"/>
                </w:tcPr>
                <w:p>
                  <w:pP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18"/>
                      <w:szCs w:val="18"/>
                      <w:shd w:val="clear"/>
                      <w:rFonts w:ascii="Cambria" w:eastAsia="Times New Roman" w:hAnsi="Cambria"/>
                    </w:rPr>
                    <w:t>145</w:t>
                  </w:r>
                </w:p>
              </w:tc>
              <w:tc>
                <w:tcPr>
                  <w:tcW w:type="dxa" w:w="1811"/>
                  <w:vAlign w:val="top"/>
                </w:tcPr>
                <w:p>
                  <w:pP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Support 50No. 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 xml:space="preserve">Women Led Business with Business Formalization with Office of the Registrar of Companies (ORC) and Food and Drugs Authority (FDA)</w:t>
                  </w:r>
                </w:p>
              </w:tc>
              <w:tc>
                <w:tcPr>
                  <w:tcW w:type="dxa" w:w="129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District-wid</w:t>
                  </w: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e</w:t>
                  </w:r>
                </w:p>
              </w:tc>
              <w:tc>
                <w:tcPr>
                  <w:tcW w:type="dxa" w:w="560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46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551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482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258"/>
                  <w:vAlign w:val="center"/>
                  <w:gridSpan w:val="2"/>
                </w:tcPr>
                <w:p>
                  <w:pPr>
                    <w:jc w:val="center"/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10,000.00</w:t>
                  </w:r>
                </w:p>
              </w:tc>
              <w:tc>
                <w:tcPr>
                  <w:tcW w:type="dxa" w:w="1258"/>
                  <w:vAlign w:val="center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2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21"/>
                  <w:vAlign w:val="top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</w:p>
              </w:tc>
              <w:tc>
                <w:tcPr>
                  <w:tcW w:type="dxa" w:w="1175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 </w:t>
                  </w:r>
                </w:p>
              </w:tc>
              <w:tc>
                <w:tcPr>
                  <w:tcW w:type="dxa" w:w="1181"/>
                  <w:vAlign w:val="center"/>
                  <w:gridSpan w:val="3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X</w:t>
                  </w:r>
                </w:p>
              </w:tc>
              <w:tc>
                <w:tcPr>
                  <w:tcW w:type="dxa" w:w="1093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BAC</w:t>
                  </w:r>
                </w:p>
              </w:tc>
              <w:tc>
                <w:tcPr>
                  <w:tcW w:type="dxa" w:w="1524"/>
                  <w:vAlign w:val="center"/>
                  <w:gridSpan w:val="2"/>
                </w:tcPr>
                <w:p>
                  <w:pPr>
                    <w:jc w:val="center"/>
                    <w:rPr>
                      <w:b w:val="1"/>
                      <w:sz w:val="20"/>
                      <w:szCs w:val="20"/>
                      <w:shd w:val="clear"/>
                      <w:rFonts w:ascii="Cambria" w:eastAsia="Times New Roman" w:hAnsi="Cambria"/>
                    </w:rPr>
                  </w:pPr>
                  <w:r>
                    <w:rPr>
                      <w:sz w:val="20"/>
                      <w:szCs w:val="20"/>
                      <w:shd w:val="clear"/>
                      <w:rFonts w:ascii="Cambria" w:eastAsia="Times New Roman" w:hAnsi="Cambria"/>
                    </w:rPr>
                    <w:t>FNDA</w:t>
                  </w:r>
                </w:p>
              </w:tc>
            </w:tr>
          </w:tbl>
          <w:p>
            <w:pPr>
              <w:jc w:val="left"/>
              <w:spacing w:lineRule="auto" w:line="240" w:before="0" w:after="0"/>
              <w:ind w:left="11" w:right="0" w:firstLine="0"/>
              <w:rPr>
                <w:shd w:val="clear"/>
              </w:rPr>
            </w:pPr>
          </w:p>
        </w:tc>
      </w:tr>
    </w:tbl>
    <w:p>
      <w:pPr>
        <w:sectPr>
          <w:footerReference w:type="default" r:id="rId7"/>
          <w:pgSz w:w="16838" w:h="11906" w:orient="landscape" w:code="9"/>
          <w:pgMar w:top="1170" w:left="1440" w:bottom="1016" w:right="900" w:gutter="0"/>
          <w:pgNumType w:fmt="decimal"/>
          <w:docGrid w:type="default" w:linePitch="360" w:charSpace="0"/>
        </w:sectPr>
        <w:tabs>
          <w:tab w:val="left" w:pos="1484"/>
        </w:tabs>
        <w:rPr>
          <w:shd w:val="clear"/>
        </w:rPr>
      </w:pPr>
      <w:r>
        <w:rPr>
          <w:shd w:val="clear"/>
        </w:rPr>
        <w:t xml:space="preserve"> </w:t>
      </w:r>
    </w:p>
    <w:p>
      <w:pPr>
        <w:tabs>
          <w:tab w:val="left" w:pos="1659"/>
        </w:tabs>
        <w:rPr>
          <w:sz w:val="20"/>
          <w:szCs w:val="20"/>
          <w:shd w:val="clear"/>
        </w:rPr>
      </w:pPr>
    </w:p>
    <w:sectPr>
      <w:footerReference w:type="default" r:id="rId8"/>
      <w:pgSz w:w="16838" w:h="11906" w:orient="landscape" w:code="9"/>
      <w:pgMar w:top="900" w:left="1440" w:bottom="1440" w:right="1440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"/>
    <w:family w:val="swiss"/>
    <w:pitch w:val="variable"/>
    <w:sig w:usb0="e4002eff" w:usb1="c000247b" w:usb2="00000009" w:usb3="00000000" w:csb0="000001ff" w:csb1="00000000"/>
  </w:font>
  <w:font w:name="DengXian Light">
    <w:panose1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"/>
    <w:family w:val="roman"/>
    <w:pitch w:val="variable"/>
    <w:sig w:usb0="00000000" w:usb1="00000000" w:usb2="00000000" w:usb3="00000000" w:csb0="00000000" w:csb1="00000000"/>
  </w:font>
  <w:font w:name="Aptos">
    <w:panose1/>
    <w:charset w:val="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6"/>
      <w:rPr>
        <w:shd w:val="clear"/>
      </w:rPr>
    </w:pPr>
    <w:r>
      <w:rPr>
        <w:color w:val="auto"/>
        <w:shd w:val="clear"/>
        <w:rFonts w:ascii="NanumGothic" w:eastAsia="NanumGothic" w:hAnsi="NanumGothic" w:cs="NanumGothic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/>
      </w:rPr>
      <w:t>3</w:t>
    </w:r>
    <w:r>
      <w:rPr>
        <w:shd w:val="clear"/>
      </w:rPr>
      <w:fldChar w:fldCharType="end"/>
    </w:r>
  </w:p>
  <w:p>
    <w:pPr>
      <w:pStyle w:val="PO156"/>
      <w:rPr>
        <w:shd w:val="clear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6"/>
      <w:rPr>
        <w:shd w:val="clear"/>
      </w:rPr>
    </w:pPr>
    <w:r>
      <w:rPr>
        <w:color w:val="auto"/>
        <w:shd w:val="clear"/>
        <w:rFonts w:ascii="NanumGothic" w:eastAsia="NanumGothic" w:hAnsi="NanumGothic" w:cs="NanumGothic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/>
      </w:rPr>
      <w:t>6</w:t>
    </w:r>
    <w:r>
      <w:rPr>
        <w:shd w:val="clear"/>
      </w:rPr>
      <w:fldChar w:fldCharType="end"/>
    </w:r>
  </w:p>
  <w:p>
    <w:pPr>
      <w:pStyle w:val="PO156"/>
      <w:rPr>
        <w:shd w:val="clear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6"/>
      <w:rPr>
        <w:shd w:val="clear"/>
      </w:rPr>
    </w:pPr>
    <w:r>
      <w:rPr>
        <w:color w:val="auto"/>
        <w:shd w:val="clear"/>
        <w:rFonts w:ascii="NanumGothic" w:eastAsia="NanumGothic" w:hAnsi="NanumGothic" w:cs="NanumGothic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/>
      </w:rPr>
      <w:t>26</w:t>
    </w:r>
    <w:r>
      <w:rPr>
        <w:shd w:val="clear"/>
      </w:rPr>
      <w:fldChar w:fldCharType="end"/>
    </w:r>
  </w:p>
  <w:p>
    <w:pPr>
      <w:pStyle w:val="PO156"/>
      <w:rPr>
        <w:shd w:val="clear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20D3"/>
    <w:lvl w:ilvl="0">
      <w:lvlJc w:val="left"/>
      <w:numFmt w:val="bullet"/>
      <w:start w:val="1"/>
      <w:suff w:val="tab"/>
      <w:pPr>
        <w:ind w:left="72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/>
        <w:rFonts w:ascii="Wingdings" w:eastAsia="Wingdings" w:hAnsi="Wingdings" w:cs="Wingdings" w:hint="default"/>
      </w:rPr>
      <w:lvlText w:val="§"/>
    </w:lvl>
  </w:abstractNum>
  <w:abstractNum w:abstractNumId="1">
    <w:multiLevelType w:val="hybridMultilevel"/>
    <w:nsid w:val="2F000001"/>
    <w:tmpl w:val="276B1D78"/>
    <w:lvl w:ilvl="0">
      <w:lvlJc w:val="left"/>
      <w:numFmt w:val="bullet"/>
      <w:start w:val="1"/>
      <w:suff w:val="tab"/>
      <w:pPr>
        <w:ind w:left="72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/>
        <w:rFonts w:ascii="Wingdings" w:eastAsia="Wingdings" w:hAnsi="Wingdings" w:cs="Wingdings" w:hint="default"/>
      </w:rPr>
      <w:lvlText w:val="§"/>
    </w:lvl>
  </w:abstractNum>
  <w:abstractNum w:abstractNumId="2">
    <w:multiLevelType w:val="hybridMultilevel"/>
    <w:nsid w:val="2F000002"/>
    <w:tmpl w:val="4F5BD66C"/>
    <w:lvl w:ilvl="0">
      <w:lvlJc w:val="left"/>
      <w:numFmt w:val="decimal"/>
      <w:start w:val="1"/>
      <w:suff w:val="tab"/>
      <w:pPr>
        <w:ind w:left="720" w:hanging="360"/>
        <w:rPr/>
      </w:pPr>
      <w:rPr>
        <w:shd w:val="clear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/>
      </w:rPr>
      <w:lvlText w:val="%9."/>
    </w:lvl>
  </w:abstractNum>
  <w:abstractNum w:abstractNumId="3">
    <w:multiLevelType w:val="hybridMultilevel"/>
    <w:nsid w:val="2F000003"/>
    <w:tmpl w:val="3C5A8615"/>
    <w:lvl w:ilvl="0">
      <w:lvlJc w:val="left"/>
      <w:numFmt w:val="bullet"/>
      <w:start w:val="1"/>
      <w:suff w:val="tab"/>
      <w:pPr>
        <w:ind w:left="72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/>
        <w:rFonts w:ascii="Wingdings" w:eastAsia="Wingdings" w:hAnsi="Wingdings" w:cs="Wingdings" w:hint="default"/>
      </w:rPr>
      <w:lvlText w:val="§"/>
    </w:lvl>
  </w:abstractNum>
  <w:abstractNum w:abstractNumId="4">
    <w:multiLevelType w:val="hybridMultilevel"/>
    <w:nsid w:val="2F000004"/>
    <w:tmpl w:val="4118DBC1"/>
    <w:lvl w:ilvl="0">
      <w:lvlJc w:val="left"/>
      <w:numFmt w:val="bullet"/>
      <w:start w:val="1"/>
      <w:suff w:val="tab"/>
      <w:pPr>
        <w:ind w:left="72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/>
        <w:rFonts w:ascii="Wingdings" w:eastAsia="Wingdings" w:hAnsi="Wingdings" w:cs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/>
        <w:rFonts w:ascii="Symbol" w:eastAsia="Symbol" w:hAnsi="Symbol" w:cs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/>
        <w:rFonts w:ascii="Courier New" w:eastAsia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/>
        <w:rFonts w:ascii="Wingdings" w:eastAsia="Wingdings" w:hAnsi="Wingdings" w:cs="Wingdings" w:hint="default"/>
      </w:rPr>
      <w:lvlText w:val="§"/>
    </w:lvl>
  </w:abstractNum>
  <w:abstractNum w:abstractNumId="5">
    <w:multiLevelType w:val="hybridMultilevel"/>
    <w:nsid w:val="2F000005"/>
    <w:tmpl w:val="2D036D64"/>
    <w:lvl w:ilvl="0">
      <w:lvlJc w:val="left"/>
      <w:numFmt w:val="bullet"/>
      <w:suff w:val="tab"/>
      <w:pPr>
        <w:ind w:left="360" w:hanging="360"/>
        <w:rPr/>
      </w:pPr>
      <w:rPr>
        <w:shd w:val="clear"/>
        <w:rFonts w:ascii="Symbol" w:hAnsi="Symbol"/>
      </w:rPr>
      <w:pStyle w:val="PO319"/>
      <w:lvlText w:val="·"/>
    </w:lvl>
    <w:lvl w:ilvl="1">
      <w:lvlJc w:val="left"/>
      <w:numFmt w:val="bullet"/>
      <w:start w:val="1"/>
      <w:suff w:val="tab"/>
      <w:rPr>
        <w:shd w:val="clear"/>
      </w:rPr>
      <w:lvlText w:val=""/>
    </w:lvl>
    <w:lvl w:ilvl="2">
      <w:lvlJc w:val="left"/>
      <w:numFmt w:val="bullet"/>
      <w:start w:val="1"/>
      <w:suff w:val="tab"/>
      <w:rPr>
        <w:shd w:val="clear"/>
      </w:rPr>
      <w:lvlText w:val=""/>
    </w:lvl>
    <w:lvl w:ilvl="3">
      <w:lvlJc w:val="left"/>
      <w:numFmt w:val="bullet"/>
      <w:start w:val="1"/>
      <w:suff w:val="tab"/>
      <w:rPr>
        <w:shd w:val="clear"/>
      </w:rPr>
      <w:lvlText w:val=""/>
    </w:lvl>
    <w:lvl w:ilvl="4">
      <w:lvlJc w:val="left"/>
      <w:numFmt w:val="bullet"/>
      <w:start w:val="1"/>
      <w:suff w:val="tab"/>
      <w:rPr>
        <w:shd w:val="clear"/>
      </w:rPr>
      <w:lvlText w:val=""/>
    </w:lvl>
    <w:lvl w:ilvl="5">
      <w:lvlJc w:val="left"/>
      <w:numFmt w:val="bullet"/>
      <w:start w:val="1"/>
      <w:suff w:val="tab"/>
      <w:rPr>
        <w:shd w:val="clear"/>
      </w:rPr>
      <w:lvlText w:val=""/>
    </w:lvl>
    <w:lvl w:ilvl="6">
      <w:lvlJc w:val="left"/>
      <w:numFmt w:val="bullet"/>
      <w:start w:val="1"/>
      <w:suff w:val="tab"/>
      <w:rPr>
        <w:shd w:val="clear"/>
      </w:rPr>
      <w:lvlText w:val=""/>
    </w:lvl>
    <w:lvl w:ilvl="7">
      <w:lvlJc w:val="left"/>
      <w:numFmt w:val="bullet"/>
      <w:start w:val="1"/>
      <w:suff w:val="tab"/>
      <w:rPr>
        <w:shd w:val="clear"/>
      </w:rPr>
      <w:lvlText w:val=""/>
    </w:lvl>
    <w:lvl w:ilvl="8">
      <w:lvlJc w:val="left"/>
      <w:numFmt w:val="bullet"/>
      <w:start w:val="1"/>
      <w:suff w:val="tab"/>
      <w:rPr>
        <w:shd w:val="clear"/>
      </w:rPr>
      <w:lvlText w:val=""/>
    </w:lvl>
  </w:abstractNum>
  <w:abstractNum w:abstractNumId="6">
    <w:multiLevelType w:val="multilevel"/>
    <w:nsid w:val="2F000006"/>
    <w:tmpl w:val="2202C76C"/>
    <w:lvl w:ilvl="0">
      <w:lvlJc w:val="left"/>
      <w:numFmt w:val="decimal"/>
      <w:start w:val="1"/>
      <w:suff w:val="tab"/>
      <w:pPr>
        <w:ind w:left="360" w:hanging="360"/>
        <w:rPr/>
      </w:pPr>
      <w:rPr>
        <w:shd w:val="clear"/>
        <w:rFonts w:hint="default"/>
      </w:rPr>
      <w:lvlText w:val="%1.0"/>
    </w:lvl>
    <w:lvl w:ilvl="1">
      <w:lvlJc w:val="left"/>
      <w:numFmt w:val="decimal"/>
      <w:start w:val="1"/>
      <w:suff w:val="tab"/>
      <w:pPr>
        <w:ind w:left="1080" w:hanging="360"/>
        <w:rPr/>
      </w:pPr>
      <w:rPr>
        <w:shd w:val="clear"/>
        <w:rFonts w:hint="default"/>
      </w:rPr>
      <w:lvlText w:val="%1.%2"/>
    </w:lvl>
    <w:lvl w:ilvl="2">
      <w:lvlJc w:val="left"/>
      <w:numFmt w:val="decimal"/>
      <w:start w:val="1"/>
      <w:suff w:val="tab"/>
      <w:pPr>
        <w:ind w:left="2160" w:hanging="720"/>
        <w:rPr/>
      </w:pPr>
      <w:rPr>
        <w:shd w:val="clear"/>
        <w:rFonts w:hint="default"/>
      </w:rPr>
      <w:lvlText w:val="%1.%2.%3"/>
    </w:lvl>
    <w:lvl w:ilvl="3">
      <w:lvlJc w:val="left"/>
      <w:numFmt w:val="decimal"/>
      <w:start w:val="1"/>
      <w:suff w:val="tab"/>
      <w:pPr>
        <w:ind w:left="2880" w:hanging="720"/>
        <w:rPr/>
      </w:pPr>
      <w:rPr>
        <w:shd w:val="clear"/>
        <w:rFonts w:hint="default"/>
      </w:rPr>
      <w:lvlText w:val="%1.%2.%3.%4"/>
    </w:lvl>
    <w:lvl w:ilvl="4">
      <w:lvlJc w:val="left"/>
      <w:numFmt w:val="decimal"/>
      <w:start w:val="1"/>
      <w:suff w:val="tab"/>
      <w:pPr>
        <w:ind w:left="3960" w:hanging="1080"/>
        <w:rPr/>
      </w:pPr>
      <w:rPr>
        <w:shd w:val="clear"/>
        <w:rFonts w:hint="default"/>
      </w:rPr>
      <w:lvlText w:val="%1.%2.%3.%4.%5"/>
    </w:lvl>
    <w:lvl w:ilvl="5">
      <w:lvlJc w:val="left"/>
      <w:numFmt w:val="decimal"/>
      <w:start w:val="1"/>
      <w:suff w:val="tab"/>
      <w:pPr>
        <w:ind w:left="4680" w:hanging="1080"/>
        <w:rPr/>
      </w:pPr>
      <w:rPr>
        <w:shd w:val="clear"/>
        <w:rFonts w:hint="default"/>
      </w:rPr>
      <w:lvlText w:val="%1.%2.%3.%4.%5.%6"/>
    </w:lvl>
    <w:lvl w:ilvl="6">
      <w:lvlJc w:val="left"/>
      <w:numFmt w:val="decimal"/>
      <w:start w:val="1"/>
      <w:suff w:val="tab"/>
      <w:pPr>
        <w:ind w:left="5760" w:hanging="1440"/>
        <w:rPr/>
      </w:pPr>
      <w:rPr>
        <w:shd w:val="clear"/>
        <w:rFonts w:hint="default"/>
      </w:rPr>
      <w:lvlText w:val="%1.%2.%3.%4.%5.%6.%7"/>
    </w:lvl>
    <w:lvl w:ilvl="7">
      <w:lvlJc w:val="left"/>
      <w:numFmt w:val="decimal"/>
      <w:start w:val="1"/>
      <w:suff w:val="tab"/>
      <w:pPr>
        <w:ind w:left="6480" w:hanging="1440"/>
        <w:rPr/>
      </w:pPr>
      <w:rPr>
        <w:shd w:val="clear"/>
        <w:rFonts w:hint="default"/>
      </w:rPr>
      <w:lvlText w:val="%1.%2.%3.%4.%5.%6.%7.%8"/>
    </w:lvl>
    <w:lvl w:ilvl="8">
      <w:lvlJc w:val="left"/>
      <w:numFmt w:val="decimal"/>
      <w:start w:val="1"/>
      <w:suff w:val="tab"/>
      <w:pPr>
        <w:ind w:left="7560" w:hanging="1800"/>
        <w:rPr/>
      </w:pPr>
      <w:rPr>
        <w:shd w:val="clear"/>
        <w:rFonts w:hint="default"/>
      </w:rPr>
      <w:lvlText w:val="%1.%2.%3.%4.%5.%6.%7.%8.%9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bidi="ar-SA"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59" w:after="160"/>
        <w:rPr/>
      </w:pPr>
    </w:pPrDefault>
    <w:rPrDefault>
      <w:rPr>
        <w:sz w:val="22"/>
        <w:szCs w:val="22"/>
        <w:shd w:val="clear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link w:val="PO324"/>
    <w:qFormat/>
    <w:uiPriority w:val="1"/>
    <w:pPr>
      <w:spacing w:lineRule="auto" w:line="240" w:after="0"/>
      <w:rPr/>
    </w:pPr>
  </w:style>
  <w:style w:styleId="PO6" w:type="paragraph">
    <w:name w:val="Title"/>
    <w:basedOn w:val="PO1"/>
    <w:next w:val="PO1"/>
    <w:link w:val="PO301"/>
    <w:qFormat/>
    <w:uiPriority w:val="10"/>
    <w:pPr>
      <w:spacing w:lineRule="auto" w:line="204" w:after="0"/>
      <w:contextualSpacing w:val="1"/>
      <w:rPr/>
    </w:pPr>
    <w:rPr>
      <w:spacing w:val="-15"/>
      <w:color w:val="44546A" w:themeColor="text2"/>
      <w:sz w:val="72"/>
      <w:szCs w:val="72"/>
      <w:shd w:val="clear"/>
      <w:caps w:val="1"/>
      <w:rFonts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1"/>
    <w:qFormat/>
    <w:uiPriority w:val="9"/>
    <w:pPr>
      <w:spacing w:lineRule="auto" w:line="240" w:before="400" w:after="40"/>
      <w:rPr/>
      <w:outlineLvl w:val="0"/>
    </w:pPr>
    <w:rPr>
      <w:color w:val="1F3864" w:themeColor="accent1" w:themeShade="7F"/>
      <w:sz w:val="36"/>
      <w:szCs w:val="36"/>
      <w:shd w:val="clear"/>
      <w:rFonts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2"/>
    <w:qFormat/>
    <w:uiPriority w:val="9"/>
    <w:unhideWhenUsed/>
    <w:pPr>
      <w:spacing w:lineRule="auto" w:line="240" w:before="40" w:after="0"/>
      <w:rPr/>
      <w:outlineLvl w:val="1"/>
    </w:pPr>
    <w:rPr>
      <w:color w:val="2F5496" w:themeColor="accent1" w:themeShade="BF"/>
      <w:sz w:val="32"/>
      <w:szCs w:val="32"/>
      <w:shd w:val="clear"/>
      <w:rFonts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3"/>
    <w:qFormat/>
    <w:uiPriority w:val="9"/>
    <w:unhideWhenUsed/>
    <w:pPr>
      <w:spacing w:lineRule="auto" w:line="240" w:before="40" w:after="0"/>
      <w:rPr/>
      <w:outlineLvl w:val="2"/>
    </w:pPr>
    <w:rPr>
      <w:color w:val="2F5496" w:themeColor="accent1" w:themeShade="BF"/>
      <w:sz w:val="28"/>
      <w:szCs w:val="28"/>
      <w:shd w:val="clear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295"/>
    <w:qFormat/>
    <w:uiPriority w:val="9"/>
    <w:unhideWhenUsed/>
    <w:pPr>
      <w:spacing w:before="40" w:after="0"/>
      <w:rPr/>
      <w:outlineLvl w:val="3"/>
    </w:pPr>
    <w:rPr>
      <w:color w:val="2F5496" w:themeColor="accent1" w:themeShade="BF"/>
      <w:sz w:val="24"/>
      <w:szCs w:val="24"/>
      <w:shd w:val="clear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296"/>
    <w:qFormat/>
    <w:uiPriority w:val="9"/>
    <w:unhideWhenUsed/>
    <w:pPr>
      <w:spacing w:before="40" w:after="0"/>
      <w:rPr/>
      <w:outlineLvl w:val="4"/>
    </w:pPr>
    <w:rPr>
      <w:color w:val="2F5496" w:themeColor="accent1" w:themeShade="BF"/>
      <w:shd w:val="clear"/>
      <w:caps w:val="1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297"/>
    <w:qFormat/>
    <w:uiPriority w:val="9"/>
    <w:unhideWhenUsed/>
    <w:pPr>
      <w:spacing w:before="40" w:after="0"/>
      <w:rPr/>
      <w:outlineLvl w:val="5"/>
    </w:pPr>
    <w:rPr>
      <w:i w:val="1"/>
      <w:color w:val="1F3864" w:themeColor="accent1" w:themeShade="7F"/>
      <w:shd w:val="clear"/>
      <w:caps w:val="1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298"/>
    <w:qFormat/>
    <w:uiPriority w:val="9"/>
    <w:unhideWhenUsed/>
    <w:pPr>
      <w:spacing w:before="40" w:after="0"/>
      <w:rPr/>
      <w:outlineLvl w:val="6"/>
    </w:pPr>
    <w:rPr>
      <w:b w:val="1"/>
      <w:color w:val="1F3864" w:themeColor="accent1" w:themeShade="7F"/>
      <w:shd w:val="clear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299"/>
    <w:qFormat/>
    <w:uiPriority w:val="9"/>
    <w:unhideWhenUsed/>
    <w:pPr>
      <w:spacing w:before="40" w:after="0"/>
      <w:rPr/>
      <w:outlineLvl w:val="7"/>
    </w:pPr>
    <w:rPr>
      <w:i w:val="1"/>
      <w:b w:val="1"/>
      <w:color w:val="1F3864" w:themeColor="accent1" w:themeShade="7F"/>
      <w:shd w:val="clear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300"/>
    <w:qFormat/>
    <w:uiPriority w:val="9"/>
    <w:unhideWhenUsed/>
    <w:pPr>
      <w:spacing w:before="40" w:after="0"/>
      <w:rPr/>
      <w:outlineLvl w:val="8"/>
    </w:pPr>
    <w:rPr>
      <w:i w:val="1"/>
      <w:color w:val="1F3864" w:themeColor="accent1" w:themeShade="7F"/>
      <w:shd w:val="clear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302"/>
    <w:qFormat/>
    <w:uiPriority w:val="11"/>
    <w:pPr>
      <w:numPr>
        <w:ilvl w:val="1"/>
      </w:numPr>
      <w:spacing w:lineRule="auto" w:line="240" w:after="240"/>
      <w:rPr/>
    </w:pPr>
    <w:rPr>
      <w:color w:val="4472C4" w:themeColor="accent1"/>
      <w:sz w:val="28"/>
      <w:szCs w:val="28"/>
      <w:shd w:val="clear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595959" w:themeColor="text1" w:themeTint="A5"/>
      <w:shd w:val="clear"/>
    </w:rPr>
  </w:style>
  <w:style w:styleId="PO18" w:type="character">
    <w:name w:val="Emphasis"/>
    <w:basedOn w:val="PO2"/>
    <w:qFormat/>
    <w:uiPriority w:val="20"/>
    <w:rPr>
      <w:i w:val="1"/>
      <w:shd w:val="clear"/>
    </w:rPr>
  </w:style>
  <w:style w:styleId="PO19" w:type="character">
    <w:name w:val="Intense Emphasis"/>
    <w:basedOn w:val="PO2"/>
    <w:qFormat/>
    <w:uiPriority w:val="21"/>
    <w:rPr>
      <w:i w:val="1"/>
      <w:b w:val="1"/>
      <w:shd w:val="clear"/>
    </w:rPr>
  </w:style>
  <w:style w:styleId="PO20" w:type="character">
    <w:name w:val="Strong"/>
    <w:basedOn w:val="PO2"/>
    <w:qFormat/>
    <w:uiPriority w:val="22"/>
    <w:rPr>
      <w:b w:val="1"/>
      <w:shd w:val="clear"/>
    </w:rPr>
  </w:style>
  <w:style w:styleId="PO21" w:type="paragraph">
    <w:name w:val="Quote"/>
    <w:basedOn w:val="PO1"/>
    <w:next w:val="PO1"/>
    <w:link w:val="PO303"/>
    <w:qFormat/>
    <w:uiPriority w:val="29"/>
    <w:pPr>
      <w:spacing w:before="120" w:after="120"/>
      <w:ind w:left="720" w:firstLine="0"/>
      <w:rPr/>
    </w:pPr>
    <w:rPr>
      <w:color w:val="44546A" w:themeColor="text2"/>
      <w:sz w:val="24"/>
      <w:szCs w:val="24"/>
      <w:shd w:val="clear"/>
    </w:rPr>
  </w:style>
  <w:style w:styleId="PO22" w:type="paragraph">
    <w:name w:val="Intense Quote"/>
    <w:basedOn w:val="PO1"/>
    <w:next w:val="PO1"/>
    <w:link w:val="PO304"/>
    <w:qFormat/>
    <w:uiPriority w:val="30"/>
    <w:pPr>
      <w:jc w:val="center"/>
      <w:spacing w:lineRule="auto" w:line="240" w:before="100" w:beforeAutospacing="1" w:after="240"/>
      <w:ind w:left="720" w:firstLine="0"/>
      <w:rPr/>
    </w:pPr>
    <w:rPr>
      <w:spacing w:val="-6"/>
      <w:color w:val="44546A" w:themeColor="text2"/>
      <w:sz w:val="32"/>
      <w:szCs w:val="32"/>
      <w:shd w:val="clear"/>
      <w:rFonts w:asciiTheme="majorHAnsi" w:eastAsiaTheme="majorEastAsia" w:hAnsiTheme="majorHAnsi" w:cstheme="majorBidi"/>
    </w:rPr>
  </w:style>
  <w:style w:styleId="PO23" w:type="character">
    <w:name w:val="Subtle Reference"/>
    <w:basedOn w:val="PO2"/>
    <w:qFormat/>
    <w:uiPriority w:val="31"/>
    <w:rPr>
      <w:color w:val="595959" w:themeColor="text1" w:themeTint="A5"/>
      <w:u w:val="none"/>
      <w:shd w:val="clear"/>
      <w:smallCaps w:val="1"/>
      <w:bdr w:val="nil" w:sz="0" w:space="0" w:color="000000"/>
    </w:rPr>
  </w:style>
  <w:style w:styleId="PO24" w:type="character">
    <w:name w:val="Intense Reference"/>
    <w:basedOn w:val="PO2"/>
    <w:qFormat/>
    <w:uiPriority w:val="32"/>
    <w:rPr>
      <w:b w:val="1"/>
      <w:color w:val="44546A" w:themeColor="text2"/>
      <w:u w:val="single"/>
      <w:shd w:val="clear"/>
      <w:smallCaps w:val="1"/>
    </w:rPr>
  </w:style>
  <w:style w:styleId="PO25" w:type="character">
    <w:name w:val="Book Title"/>
    <w:basedOn w:val="PO2"/>
    <w:qFormat/>
    <w:uiPriority w:val="33"/>
    <w:rPr>
      <w:spacing w:val="10"/>
      <w:b w:val="1"/>
      <w:shd w:val="clear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</w:style>
  <w:style w:styleId="PO27" w:type="paragraph">
    <w:name w:val="TOC Heading"/>
    <w:basedOn w:val="PO7"/>
    <w:next w:val="PO1"/>
    <w:qFormat/>
    <w:uiPriority w:val="39"/>
    <w:unhideWhenUsed/>
    <w:pPr>
      <w:rPr/>
      <w:outlineLvl w:val="9"/>
    </w:pPr>
  </w:style>
  <w:style w:styleId="PO28" w:type="paragraph">
    <w:name w:val="toc 1"/>
    <w:basedOn w:val="PO1"/>
    <w:next w:val="PO1"/>
    <w:uiPriority w:val="39"/>
    <w:unhideWhenUsed/>
    <w:pPr>
      <w:spacing w:after="100"/>
      <w:rPr/>
    </w:pPr>
  </w:style>
  <w:style w:styleId="PO29" w:type="paragraph">
    <w:name w:val="toc 2"/>
    <w:basedOn w:val="PO1"/>
    <w:next w:val="PO1"/>
    <w:uiPriority w:val="39"/>
    <w:unhideWhenUsed/>
    <w:pPr>
      <w:spacing w:after="100"/>
      <w:ind w:left="240" w:firstLine="0"/>
      <w:rPr/>
    </w:pPr>
  </w:style>
  <w:style w:styleId="PO30" w:type="paragraph">
    <w:name w:val="toc 3"/>
    <w:basedOn w:val="PO1"/>
    <w:next w:val="PO1"/>
    <w:uiPriority w:val="39"/>
    <w:unhideWhenUsed/>
    <w:pPr>
      <w:spacing w:after="100"/>
      <w:ind w:left="480" w:firstLine="0"/>
      <w:rPr/>
    </w:pPr>
  </w:style>
  <w:style w:styleId="PO31" w:type="paragraph">
    <w:name w:val="toc 4"/>
    <w:basedOn w:val="PO1"/>
    <w:next w:val="PO1"/>
    <w:uiPriority w:val="39"/>
    <w:unhideWhenUsed/>
    <w:pPr>
      <w:spacing w:lineRule="auto" w:line="278" w:after="100"/>
      <w:ind w:left="720" w:firstLine="0"/>
      <w:rPr/>
    </w:pPr>
    <w:rPr>
      <w:shd w:val="clear"/>
    </w:rPr>
  </w:style>
  <w:style w:styleId="PO32" w:type="paragraph">
    <w:name w:val="toc 5"/>
    <w:basedOn w:val="PO1"/>
    <w:next w:val="PO1"/>
    <w:uiPriority w:val="39"/>
    <w:unhideWhenUsed/>
    <w:pPr>
      <w:spacing w:lineRule="auto" w:line="278" w:after="100"/>
      <w:ind w:left="960" w:firstLine="0"/>
      <w:rPr/>
    </w:pPr>
    <w:rPr>
      <w:shd w:val="clear"/>
    </w:rPr>
  </w:style>
  <w:style w:styleId="PO33" w:type="paragraph">
    <w:name w:val="toc 6"/>
    <w:basedOn w:val="PO1"/>
    <w:next w:val="PO1"/>
    <w:uiPriority w:val="39"/>
    <w:unhideWhenUsed/>
    <w:pPr>
      <w:spacing w:lineRule="auto" w:line="278" w:after="100"/>
      <w:ind w:left="1200" w:firstLine="0"/>
      <w:rPr/>
    </w:pPr>
    <w:rPr>
      <w:shd w:val="clear"/>
    </w:rPr>
  </w:style>
  <w:style w:styleId="PO34" w:type="paragraph">
    <w:name w:val="toc 7"/>
    <w:basedOn w:val="PO1"/>
    <w:next w:val="PO1"/>
    <w:uiPriority w:val="39"/>
    <w:unhideWhenUsed/>
    <w:pPr>
      <w:spacing w:lineRule="auto" w:line="278" w:after="100"/>
      <w:ind w:left="1440" w:firstLine="0"/>
      <w:rPr/>
    </w:pPr>
    <w:rPr>
      <w:shd w:val="clear"/>
    </w:rPr>
  </w:style>
  <w:style w:styleId="PO35" w:type="paragraph">
    <w:name w:val="toc 8"/>
    <w:basedOn w:val="PO1"/>
    <w:next w:val="PO1"/>
    <w:uiPriority w:val="39"/>
    <w:unhideWhenUsed/>
    <w:pPr>
      <w:spacing w:lineRule="auto" w:line="278" w:after="100"/>
      <w:ind w:left="1680" w:firstLine="0"/>
      <w:rPr/>
    </w:pPr>
    <w:rPr>
      <w:shd w:val="clear"/>
    </w:rPr>
  </w:style>
  <w:style w:styleId="PO36" w:type="paragraph">
    <w:name w:val="toc 9"/>
    <w:basedOn w:val="PO1"/>
    <w:next w:val="PO1"/>
    <w:uiPriority w:val="39"/>
    <w:unhideWhenUsed/>
    <w:pPr>
      <w:spacing w:lineRule="auto" w:line="278" w:after="100"/>
      <w:ind w:left="1920" w:firstLine="0"/>
      <w:rPr/>
    </w:pPr>
    <w:rPr>
      <w:shd w:val="clear"/>
    </w:rPr>
  </w:style>
  <w:style w:styleId="PO37" w:type="table">
    <w:name w:val="Table Grid"/>
    <w:basedOn w:val="PO3"/>
    <w:qFormat/>
    <w:uiPriority w:val="59"/>
    <w:pPr>
      <w:spacing w:lineRule="auto" w:line="240" w:after="0"/>
      <w:rPr/>
    </w:p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styleId="PO38" w:type="table">
    <w:name w:val="Grid Table Light"/>
    <w:basedOn w:val="PO3"/>
    <w:uiPriority w:val="40"/>
    <w:pPr>
      <w:spacing w:lineRule="auto" w:line="240" w:after="0"/>
      <w:rPr/>
      <w:autoSpaceDN w:val="0"/>
    </w:pPr>
    <w:rPr>
      <w:sz w:val="24"/>
      <w:szCs w:val="24"/>
      <w:shd w:val="clear"/>
      <w:rFonts w:ascii="Times New Roman" w:eastAsia="Times New Roman" w:hAnsi="Times New Roman" w:cs="Times New Roman"/>
      <w:lang w:bidi="fa-IR" w:eastAsia="ja-JP" w:val="de-DE"/>
    </w:rPr>
    <w:tblPr>
      <w:tblBorders>
        <w:bottom w:val="single" w:color="BFBFBF" w:themeColor="background1" w:themeShade="BF" w:sz="4"/>
        <w:insideH w:val="single" w:color="BFBFBF" w:themeColor="background1" w:themeShade="BF" w:sz="4"/>
        <w:insideV w:val="single" w:color="BFBFBF" w:themeColor="background1" w:themeShade="BF" w:sz="4"/>
        <w:left w:val="single" w:color="BFBFBF" w:themeColor="background1" w:themeShade="BF" w:sz="4"/>
        <w:right w:val="single" w:color="BFBFBF" w:themeColor="background1" w:themeShade="BF" w:sz="4"/>
        <w:top w:val="single" w:color="BFBFBF" w:themeColor="background1" w:themeShade="BF" w:sz="4"/>
      </w:tblBorders>
    </w:tblPr>
  </w:style>
  <w:style w:customStyle="1" w:styleId="PO151" w:type="character">
    <w:name w:val="Heading 1 Char"/>
    <w:basedOn w:val="PO2"/>
    <w:link w:val="PO7"/>
    <w:uiPriority w:val="9"/>
    <w:rPr>
      <w:color w:val="1F3864" w:themeColor="accent1" w:themeShade="7F"/>
      <w:sz w:val="36"/>
      <w:szCs w:val="36"/>
      <w:shd w:val="clear"/>
      <w:rFonts w:asciiTheme="majorHAnsi" w:eastAsiaTheme="majorEastAsia" w:hAnsiTheme="majorHAnsi" w:cstheme="majorBidi"/>
    </w:rPr>
  </w:style>
  <w:style w:customStyle="1" w:styleId="PO152" w:type="character">
    <w:name w:val="Heading 2 Char"/>
    <w:basedOn w:val="PO2"/>
    <w:link w:val="PO8"/>
    <w:uiPriority w:val="9"/>
    <w:rPr>
      <w:color w:val="2F5496" w:themeColor="accent1" w:themeShade="BF"/>
      <w:sz w:val="32"/>
      <w:szCs w:val="32"/>
      <w:shd w:val="clear"/>
      <w:rFonts w:asciiTheme="majorHAnsi" w:eastAsiaTheme="majorEastAsia" w:hAnsiTheme="majorHAnsi" w:cstheme="majorBidi"/>
    </w:rPr>
  </w:style>
  <w:style w:customStyle="1" w:styleId="PO153" w:type="character">
    <w:name w:val="Heading 3 Char"/>
    <w:basedOn w:val="PO2"/>
    <w:link w:val="PO9"/>
    <w:uiPriority w:val="9"/>
    <w:rPr>
      <w:color w:val="2F5496" w:themeColor="accent1" w:themeShade="BF"/>
      <w:sz w:val="28"/>
      <w:szCs w:val="28"/>
      <w:shd w:val="clear"/>
      <w:rFonts w:asciiTheme="majorHAnsi" w:eastAsiaTheme="majorEastAsia" w:hAnsiTheme="majorHAnsi" w:cstheme="majorBidi"/>
    </w:rPr>
  </w:style>
  <w:style w:styleId="PO154" w:type="paragraph">
    <w:name w:val="header"/>
    <w:basedOn w:val="PO1"/>
    <w:link w:val="PO155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</w:style>
  <w:style w:customStyle="1" w:styleId="PO155" w:type="character">
    <w:name w:val="Header Char"/>
    <w:basedOn w:val="PO2"/>
    <w:link w:val="PO154"/>
    <w:uiPriority w:val="99"/>
    <w:rPr>
      <w:sz w:val="24"/>
      <w:szCs w:val="24"/>
      <w:shd w:val="clear"/>
      <w:rFonts w:ascii="Times New Roman" w:hAnsi="Times New Roman" w:cs="Times New Roman"/>
      <w:lang w:val="en-GB"/>
    </w:rPr>
  </w:style>
  <w:style w:styleId="PO156" w:type="paragraph">
    <w:name w:val="footer"/>
    <w:basedOn w:val="PO1"/>
    <w:link w:val="PO157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</w:style>
  <w:style w:customStyle="1" w:styleId="PO157" w:type="character">
    <w:name w:val="Footer Char"/>
    <w:basedOn w:val="PO2"/>
    <w:link w:val="PO156"/>
    <w:uiPriority w:val="99"/>
    <w:rPr>
      <w:sz w:val="24"/>
      <w:szCs w:val="24"/>
      <w:shd w:val="clear"/>
      <w:rFonts w:ascii="Times New Roman" w:hAnsi="Times New Roman" w:cs="Times New Roman"/>
      <w:lang w:val="en-GB"/>
    </w:rPr>
  </w:style>
  <w:style w:styleId="PO158" w:type="paragraph">
    <w:name w:val="Balloon Text"/>
    <w:basedOn w:val="PO1"/>
    <w:link w:val="PO159"/>
    <w:uiPriority w:val="99"/>
    <w:unhideWhenUsed/>
    <w:pPr>
      <w:spacing w:lineRule="auto" w:line="240" w:after="0"/>
      <w:rPr/>
    </w:pPr>
    <w:rPr>
      <w:sz w:val="18"/>
      <w:szCs w:val="18"/>
      <w:shd w:val="clear"/>
      <w:rFonts w:ascii="Segoe UI" w:hAnsi="Segoe UI" w:cs="Segoe UI"/>
    </w:rPr>
  </w:style>
  <w:style w:customStyle="1" w:styleId="PO159" w:type="character">
    <w:name w:val="Balloon Text Char"/>
    <w:basedOn w:val="PO2"/>
    <w:link w:val="PO158"/>
    <w:uiPriority w:val="99"/>
    <w:rPr>
      <w:sz w:val="18"/>
      <w:szCs w:val="18"/>
      <w:shd w:val="clear"/>
      <w:rFonts w:ascii="Segoe UI" w:hAnsi="Segoe UI" w:cs="Segoe UI"/>
      <w:lang w:val="en-GB"/>
    </w:rPr>
  </w:style>
  <w:style w:styleId="PO160" w:type="character">
    <w:name w:val="Hyperlink"/>
    <w:basedOn w:val="PO2"/>
    <w:uiPriority w:val="99"/>
    <w:unhideWhenUsed/>
    <w:rPr>
      <w:color w:val="0563C1" w:themeColor="hyperlink"/>
      <w:u w:val="single"/>
      <w:shd w:val="clear"/>
    </w:rPr>
  </w:style>
  <w:style w:styleId="PO161" w:type="character">
    <w:name w:val="FollowedHyperlink"/>
    <w:basedOn w:val="PO2"/>
    <w:uiPriority w:val="99"/>
    <w:semiHidden/>
    <w:unhideWhenUsed/>
    <w:rPr>
      <w:color w:val="954F72"/>
      <w:u w:val="single"/>
      <w:shd w:val="clear"/>
    </w:rPr>
  </w:style>
  <w:style w:customStyle="1" w:styleId="PO162" w:type="paragraph">
    <w:name w:val="msonormal"/>
    <w:basedOn w:val="PO1"/>
    <w:pPr>
      <w:spacing w:lineRule="auto" w:line="240" w:before="100" w:beforeAutospacing="1" w:after="100" w:afterAutospacing="1"/>
      <w:rPr/>
    </w:pPr>
    <w:rPr>
      <w:shd w:val="clear"/>
      <w:rFonts w:eastAsia="Times New Roman"/>
    </w:rPr>
  </w:style>
  <w:style w:customStyle="1" w:styleId="PO163" w:type="paragraph">
    <w:name w:val="xl63"/>
    <w:basedOn w:val="PO1"/>
    <w:pPr>
      <w:spacing w:lineRule="auto" w:line="240" w:before="100" w:beforeAutospacing="1" w:after="100" w:afterAutospacing="1"/>
      <w:pBdr>
        <w:bottom w:sz="4" w:space="0" w:color="000000" w:val="single"/>
      </w:pBdr>
      <w:rPr/>
    </w:pPr>
    <w:rPr>
      <w:shd w:val="clear"/>
      <w:rFonts w:eastAsia="Times New Roman"/>
    </w:rPr>
  </w:style>
  <w:style w:customStyle="1" w:styleId="PO164" w:type="paragraph">
    <w:name w:val="xl64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165" w:type="paragraph">
    <w:name w:val="xl65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66" w:type="paragraph">
    <w:name w:val="xl66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67" w:type="paragraph">
    <w:name w:val="xl67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68" w:type="paragraph">
    <w:name w:val="xl68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69" w:type="paragraph">
    <w:name w:val="xl69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0" w:type="paragraph">
    <w:name w:val="xl70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1" w:type="paragraph">
    <w:name w:val="xl71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2" w:type="paragraph">
    <w:name w:val="xl72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3" w:type="paragraph">
    <w:name w:val="xl73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4" w:type="paragraph">
    <w:name w:val="xl74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5" w:type="paragraph">
    <w:name w:val="xl75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6" w:type="paragraph">
    <w:name w:val="xl76"/>
    <w:basedOn w:val="PO1"/>
    <w:pPr>
      <w:spacing w:lineRule="auto" w:line="240" w:before="100" w:beforeAutospacing="1" w:after="100" w:afterAutospacing="1"/>
      <w:rPr/>
    </w:pPr>
    <w:rPr>
      <w:shd w:val="clear"/>
      <w:rFonts w:eastAsia="Times New Roman"/>
    </w:rPr>
  </w:style>
  <w:style w:customStyle="1" w:styleId="PO177" w:type="paragraph">
    <w:name w:val="xl77"/>
    <w:basedOn w:val="PO1"/>
    <w:pPr>
      <w:jc w:val="center"/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8" w:type="paragraph">
    <w:name w:val="xl78"/>
    <w:basedOn w:val="PO1"/>
    <w:pPr>
      <w:jc w:val="center"/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79" w:type="paragraph">
    <w:name w:val="xl79"/>
    <w:basedOn w:val="PO1"/>
    <w:pPr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0" w:type="paragraph">
    <w:name w:val="xl80"/>
    <w:basedOn w:val="PO1"/>
    <w:pPr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1" w:type="paragraph">
    <w:name w:val="xl81"/>
    <w:basedOn w:val="PO1"/>
    <w:pPr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2" w:type="paragraph">
    <w:name w:val="xl82"/>
    <w:basedOn w:val="PO1"/>
    <w:pPr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3" w:type="paragraph">
    <w:name w:val="xl83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4" w:type="paragraph">
    <w:name w:val="xl84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5" w:type="paragraph">
    <w:name w:val="xl85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6" w:type="paragraph">
    <w:name w:val="xl86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7" w:type="paragraph">
    <w:name w:val="xl87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8" w:type="paragraph">
    <w:name w:val="xl88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89" w:type="paragraph">
    <w:name w:val="xl89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0" w:type="paragraph">
    <w:name w:val="xl90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1" w:type="paragraph">
    <w:name w:val="xl91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2" w:type="paragraph">
    <w:name w:val="xl92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3" w:type="paragraph">
    <w:name w:val="xl93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4" w:type="paragraph">
    <w:name w:val="xl94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5" w:type="paragraph">
    <w:name w:val="xl95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6" w:type="paragraph">
    <w:name w:val="xl96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7" w:type="paragraph">
    <w:name w:val="xl97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8" w:type="paragraph">
    <w:name w:val="xl98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199" w:type="paragraph">
    <w:name w:val="xl99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0" w:type="paragraph">
    <w:name w:val="xl100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1" w:type="paragraph">
    <w:name w:val="xl101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2" w:type="paragraph">
    <w:name w:val="xl102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3" w:type="paragraph">
    <w:name w:val="xl103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4" w:type="paragraph">
    <w:name w:val="xl104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5" w:type="paragraph">
    <w:name w:val="xl105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</w:pBdr>
      <w:rPr/>
    </w:pPr>
    <w:rPr>
      <w:shd w:val="clear"/>
      <w:rFonts w:eastAsia="Times New Roman"/>
    </w:rPr>
  </w:style>
  <w:style w:customStyle="1" w:styleId="PO206" w:type="paragraph">
    <w:name w:val="xl106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7" w:type="paragraph">
    <w:name w:val="xl107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08" w:type="paragraph">
    <w:name w:val="xl108"/>
    <w:basedOn w:val="PO1"/>
    <w:pPr>
      <w:spacing w:lineRule="auto" w:line="240" w:before="100" w:beforeAutospacing="1" w:after="100" w:afterAutospacing="1"/>
      <w:pBdr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09" w:type="paragraph">
    <w:name w:val="xl109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0" w:type="paragraph">
    <w:name w:val="xl110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1" w:type="paragraph">
    <w:name w:val="xl111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12" w:type="paragraph">
    <w:name w:val="xl112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3" w:type="paragraph">
    <w:name w:val="xl113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4" w:type="paragraph">
    <w:name w:val="xl114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5" w:type="paragraph">
    <w:name w:val="xl115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6" w:type="paragraph">
    <w:name w:val="xl116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7" w:type="paragraph">
    <w:name w:val="xl117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18" w:type="paragraph">
    <w:name w:val="xl118"/>
    <w:basedOn w:val="PO1"/>
    <w:pPr>
      <w:spacing w:lineRule="auto" w:line="240" w:before="100" w:beforeAutospacing="1" w:after="100" w:afterAutospacing="1"/>
      <w:rPr/>
    </w:pPr>
    <w:rPr>
      <w:shd w:val="clear"/>
      <w:rFonts w:eastAsia="Times New Roman"/>
    </w:rPr>
  </w:style>
  <w:style w:customStyle="1" w:styleId="PO219" w:type="paragraph">
    <w:name w:val="xl119"/>
    <w:basedOn w:val="PO1"/>
    <w:pPr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20" w:type="paragraph">
    <w:name w:val="xl120"/>
    <w:basedOn w:val="PO1"/>
    <w:pPr>
      <w:shd w:val="clear" w:color="FFFFFF" w:fill="FFFFFF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21" w:type="paragraph">
    <w:name w:val="xl121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22" w:type="paragraph">
    <w:name w:val="xl122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23" w:type="paragraph">
    <w:name w:val="xl123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24" w:type="paragraph">
    <w:name w:val="xl124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color w:val="C00000"/>
      <w:shd w:val="clear"/>
      <w:rFonts w:eastAsia="Times New Roman"/>
    </w:rPr>
  </w:style>
  <w:style w:customStyle="1" w:styleId="PO225" w:type="paragraph">
    <w:name w:val="xl125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26" w:type="paragraph">
    <w:name w:val="xl126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27" w:type="paragraph">
    <w:name w:val="xl127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28" w:type="paragraph">
    <w:name w:val="xl128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29" w:type="paragraph">
    <w:name w:val="xl129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0" w:type="paragraph">
    <w:name w:val="xl130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1" w:type="paragraph">
    <w:name w:val="xl131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2" w:type="paragraph">
    <w:name w:val="xl132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</w:pBdr>
      <w:rPr/>
    </w:pPr>
    <w:rPr>
      <w:shd w:val="clear"/>
      <w:rFonts w:eastAsia="Times New Roman"/>
    </w:rPr>
  </w:style>
  <w:style w:customStyle="1" w:styleId="PO233" w:type="paragraph">
    <w:name w:val="xl133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</w:pBdr>
      <w:rPr/>
    </w:pPr>
    <w:rPr>
      <w:shd w:val="clear"/>
      <w:rFonts w:eastAsia="Times New Roman"/>
    </w:rPr>
  </w:style>
  <w:style w:customStyle="1" w:styleId="PO234" w:type="paragraph">
    <w:name w:val="xl134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5" w:type="paragraph">
    <w:name w:val="xl135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6" w:type="paragraph">
    <w:name w:val="xl136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7" w:type="paragraph">
    <w:name w:val="xl137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8" w:type="paragraph">
    <w:name w:val="xl138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39" w:type="paragraph">
    <w:name w:val="xl139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40" w:type="paragraph">
    <w:name w:val="xl140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41" w:type="paragraph">
    <w:name w:val="xl141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42" w:type="paragraph">
    <w:name w:val="xl142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43" w:type="paragraph">
    <w:name w:val="xl143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44" w:type="paragraph">
    <w:name w:val="xl144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45" w:type="paragraph">
    <w:name w:val="xl145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46" w:type="paragraph">
    <w:name w:val="xl146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47" w:type="paragraph">
    <w:name w:val="xl147"/>
    <w:basedOn w:val="PO1"/>
    <w:pPr>
      <w:shd w:val="clear" w:color="FFFFFF" w:fill="FFFFFF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48" w:type="paragraph">
    <w:name w:val="xl148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49" w:type="paragraph">
    <w:name w:val="xl149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50" w:type="paragraph">
    <w:name w:val="xl150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51" w:type="paragraph">
    <w:name w:val="xl151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52" w:type="paragraph">
    <w:name w:val="xl152"/>
    <w:basedOn w:val="PO1"/>
    <w:pPr>
      <w:spacing w:lineRule="auto" w:line="240" w:before="100" w:beforeAutospacing="1" w:after="100" w:afterAutospacing="1"/>
      <w:pBdr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53" w:type="paragraph">
    <w:name w:val="xl153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54" w:type="paragraph">
    <w:name w:val="xl154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55" w:type="paragraph">
    <w:name w:val="xl155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56" w:type="paragraph">
    <w:name w:val="xl156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57" w:type="paragraph">
    <w:name w:val="xl157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58" w:type="paragraph">
    <w:name w:val="xl158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59" w:type="paragraph">
    <w:name w:val="xl159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60" w:type="paragraph">
    <w:name w:val="xl160"/>
    <w:basedOn w:val="PO1"/>
    <w:pPr>
      <w:jc w:val="center"/>
      <w:spacing w:lineRule="auto" w:line="240" w:before="100" w:beforeAutospacing="1" w:after="100" w:afterAutospacing="1"/>
      <w:pBdr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61" w:type="paragraph">
    <w:name w:val="xl161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62" w:type="paragraph">
    <w:name w:val="xl162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63" w:type="paragraph">
    <w:name w:val="xl163"/>
    <w:basedOn w:val="PO1"/>
    <w:pPr>
      <w:spacing w:lineRule="auto" w:line="240" w:before="100" w:beforeAutospacing="1" w:after="100" w:afterAutospacing="1"/>
      <w:pBdr>
        <w:bottom w:sz="4" w:space="0" w:color="000000" w:val="single"/>
      </w:pBdr>
      <w:rPr/>
    </w:pPr>
    <w:rPr>
      <w:shd w:val="clear"/>
      <w:rFonts w:eastAsia="Times New Roman"/>
    </w:rPr>
  </w:style>
  <w:style w:customStyle="1" w:styleId="PO264" w:type="paragraph">
    <w:name w:val="xl164"/>
    <w:basedOn w:val="PO1"/>
    <w:pPr>
      <w:spacing w:lineRule="auto" w:line="240" w:before="100" w:beforeAutospacing="1" w:after="100" w:afterAutospacing="1"/>
      <w:pBdr>
        <w:bottom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65" w:type="paragraph">
    <w:name w:val="xl165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66" w:type="paragraph">
    <w:name w:val="xl166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67" w:type="paragraph">
    <w:name w:val="xl167"/>
    <w:basedOn w:val="PO1"/>
    <w:pPr>
      <w:spacing w:lineRule="auto" w:line="240" w:before="100" w:beforeAutospacing="1" w:after="100" w:afterAutospacing="1"/>
      <w:pBdr>
        <w:left w:sz="4" w:space="0" w:color="000000" w:val="single"/>
        <w:righ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68" w:type="paragraph">
    <w:name w:val="xl168"/>
    <w:basedOn w:val="PO1"/>
    <w:pPr>
      <w:jc w:val="center"/>
      <w:spacing w:lineRule="auto" w:line="240" w:before="100" w:beforeAutospacing="1" w:after="100" w:afterAutospacing="1"/>
      <w:pBdr>
        <w:left w:sz="4" w:space="0" w:color="000000" w:val="single"/>
        <w:righ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69" w:type="paragraph">
    <w:name w:val="xl169"/>
    <w:basedOn w:val="PO1"/>
    <w:pPr>
      <w:jc w:val="center"/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70" w:type="paragraph">
    <w:name w:val="xl170"/>
    <w:basedOn w:val="PO1"/>
    <w:pPr>
      <w:spacing w:lineRule="auto" w:line="240" w:before="100" w:beforeAutospacing="1" w:after="100" w:afterAutospacing="1"/>
      <w:pBdr>
        <w:bottom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71" w:type="paragraph">
    <w:name w:val="xl171"/>
    <w:basedOn w:val="PO1"/>
    <w:pPr>
      <w:spacing w:lineRule="auto" w:line="240" w:before="100" w:beforeAutospacing="1" w:after="100" w:afterAutospacing="1"/>
      <w:pBdr>
        <w:bottom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72" w:type="paragraph">
    <w:name w:val="xl172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73" w:type="paragraph">
    <w:name w:val="xl173"/>
    <w:basedOn w:val="PO1"/>
    <w:pPr>
      <w:spacing w:lineRule="auto" w:line="240" w:before="100" w:beforeAutospacing="1" w:after="100" w:afterAutospacing="1"/>
      <w:pBdr>
        <w:top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74" w:type="paragraph">
    <w:name w:val="xl174"/>
    <w:basedOn w:val="PO1"/>
    <w:pPr>
      <w:spacing w:lineRule="auto" w:line="240" w:before="100" w:beforeAutospacing="1" w:after="100" w:afterAutospacing="1"/>
      <w:pBdr>
        <w:top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75" w:type="paragraph">
    <w:name w:val="xl175"/>
    <w:basedOn w:val="PO1"/>
    <w:pPr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76" w:type="paragraph">
    <w:name w:val="xl176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77" w:type="paragraph">
    <w:name w:val="xl177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i w:val="1"/>
      <w:b w:val="1"/>
      <w:shd w:val="clear"/>
      <w:rFonts w:eastAsia="Times New Roman"/>
    </w:rPr>
  </w:style>
  <w:style w:customStyle="1" w:styleId="PO278" w:type="paragraph">
    <w:name w:val="xl178"/>
    <w:basedOn w:val="PO1"/>
    <w:pPr>
      <w:spacing w:lineRule="auto" w:line="240" w:before="100" w:beforeAutospacing="1" w:after="100" w:afterAutospacing="1"/>
      <w:pBdr>
        <w:lef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79" w:type="paragraph">
    <w:name w:val="xl179"/>
    <w:basedOn w:val="PO1"/>
    <w:pPr>
      <w:spacing w:lineRule="auto" w:line="240" w:before="100" w:beforeAutospacing="1" w:after="100" w:afterAutospacing="1"/>
      <w:rPr/>
    </w:pPr>
    <w:rPr>
      <w:b w:val="1"/>
      <w:shd w:val="clear"/>
      <w:rFonts w:eastAsia="Times New Roman"/>
    </w:rPr>
  </w:style>
  <w:style w:customStyle="1" w:styleId="PO280" w:type="paragraph">
    <w:name w:val="xl180"/>
    <w:basedOn w:val="PO1"/>
    <w:pPr>
      <w:spacing w:lineRule="auto" w:line="240" w:before="100" w:beforeAutospacing="1" w:after="100" w:afterAutospacing="1"/>
      <w:pBdr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81" w:type="paragraph">
    <w:name w:val="xl181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82" w:type="paragraph">
    <w:name w:val="xl182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83" w:type="paragraph">
    <w:name w:val="xl183"/>
    <w:basedOn w:val="PO1"/>
    <w:pPr>
      <w:spacing w:lineRule="auto" w:line="240" w:before="100" w:beforeAutospacing="1" w:after="100" w:afterAutospacing="1"/>
      <w:pBdr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84" w:type="paragraph">
    <w:name w:val="xl184"/>
    <w:basedOn w:val="PO1"/>
    <w:pPr>
      <w:spacing w:lineRule="auto" w:line="240" w:before="100" w:beforeAutospacing="1" w:after="100" w:afterAutospacing="1"/>
      <w:pBdr>
        <w:top w:sz="4" w:space="0" w:color="000000" w:val="single"/>
      </w:pBdr>
      <w:rPr/>
    </w:pPr>
    <w:rPr>
      <w:shd w:val="clear"/>
      <w:rFonts w:eastAsia="Times New Roman"/>
    </w:rPr>
  </w:style>
  <w:style w:customStyle="1" w:styleId="PO285" w:type="paragraph">
    <w:name w:val="xl185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</w:pBdr>
      <w:rPr/>
    </w:pPr>
    <w:rPr>
      <w:shd w:val="clear"/>
      <w:rFonts w:eastAsia="Times New Roman"/>
    </w:rPr>
  </w:style>
  <w:style w:customStyle="1" w:styleId="PO286" w:type="paragraph">
    <w:name w:val="xl186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right w:sz="4" w:space="0" w:color="000000" w:val="single"/>
      </w:pBdr>
      <w:rPr/>
    </w:pPr>
    <w:rPr>
      <w:shd w:val="clear"/>
      <w:rFonts w:eastAsia="Times New Roman"/>
    </w:rPr>
  </w:style>
  <w:style w:customStyle="1" w:styleId="PO287" w:type="paragraph">
    <w:name w:val="xl187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88" w:type="paragraph">
    <w:name w:val="xl188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89" w:type="paragraph">
    <w:name w:val="xl189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90" w:type="paragraph">
    <w:name w:val="xl190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91" w:type="paragraph">
    <w:name w:val="xl191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92" w:type="paragraph">
    <w:name w:val="xl192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93" w:type="paragraph">
    <w:name w:val="xl193"/>
    <w:basedOn w:val="PO1"/>
    <w:pPr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94" w:type="paragraph">
    <w:name w:val="xl194"/>
    <w:basedOn w:val="PO1"/>
    <w:pPr>
      <w:jc w:val="center"/>
      <w:spacing w:lineRule="auto" w:line="240" w:before="100" w:beforeAutospacing="1" w:after="100" w:afterAutospacing="1"/>
      <w:pBdr>
        <w:top w:sz="4" w:space="0" w:color="000000" w:val="single"/>
        <w:bottom w:sz="4" w:space="0" w:color="000000" w:val="single"/>
        <w:left w:sz="4" w:space="0" w:color="000000" w:val="single"/>
        <w:right w:sz="4" w:space="0" w:color="000000" w:val="single"/>
      </w:pBdr>
      <w:rPr/>
    </w:pPr>
    <w:rPr>
      <w:b w:val="1"/>
      <w:shd w:val="clear"/>
      <w:rFonts w:eastAsia="Times New Roman"/>
    </w:rPr>
  </w:style>
  <w:style w:customStyle="1" w:styleId="PO295" w:type="character">
    <w:name w:val="Heading 4 Char"/>
    <w:basedOn w:val="PO2"/>
    <w:link w:val="PO10"/>
    <w:uiPriority w:val="9"/>
    <w:rPr>
      <w:color w:val="2F5496" w:themeColor="accent1" w:themeShade="BF"/>
      <w:sz w:val="24"/>
      <w:szCs w:val="24"/>
      <w:shd w:val="clear"/>
      <w:rFonts w:asciiTheme="majorHAnsi" w:eastAsiaTheme="majorEastAsia" w:hAnsiTheme="majorHAnsi" w:cstheme="majorBidi"/>
    </w:rPr>
  </w:style>
  <w:style w:customStyle="1" w:styleId="PO296" w:type="character">
    <w:name w:val="Heading 5 Char"/>
    <w:basedOn w:val="PO2"/>
    <w:link w:val="PO11"/>
    <w:uiPriority w:val="9"/>
    <w:rPr>
      <w:color w:val="2F5496" w:themeColor="accent1" w:themeShade="BF"/>
      <w:shd w:val="clear"/>
      <w:caps w:val="1"/>
      <w:rFonts w:asciiTheme="majorHAnsi" w:eastAsiaTheme="majorEastAsia" w:hAnsiTheme="majorHAnsi" w:cstheme="majorBidi"/>
    </w:rPr>
  </w:style>
  <w:style w:customStyle="1" w:styleId="PO297" w:type="character">
    <w:name w:val="Heading 6 Char"/>
    <w:basedOn w:val="PO2"/>
    <w:link w:val="PO12"/>
    <w:uiPriority w:val="9"/>
    <w:rPr>
      <w:i w:val="1"/>
      <w:color w:val="1F3864" w:themeColor="accent1" w:themeShade="7F"/>
      <w:shd w:val="clear"/>
      <w:caps w:val="1"/>
      <w:rFonts w:asciiTheme="majorHAnsi" w:eastAsiaTheme="majorEastAsia" w:hAnsiTheme="majorHAnsi" w:cstheme="majorBidi"/>
    </w:rPr>
  </w:style>
  <w:style w:customStyle="1" w:styleId="PO298" w:type="character">
    <w:name w:val="Heading 7 Char"/>
    <w:basedOn w:val="PO2"/>
    <w:link w:val="PO13"/>
    <w:uiPriority w:val="9"/>
    <w:rPr>
      <w:b w:val="1"/>
      <w:color w:val="1F3864" w:themeColor="accent1" w:themeShade="7F"/>
      <w:shd w:val="clear"/>
      <w:rFonts w:asciiTheme="majorHAnsi" w:eastAsiaTheme="majorEastAsia" w:hAnsiTheme="majorHAnsi" w:cstheme="majorBidi"/>
    </w:rPr>
  </w:style>
  <w:style w:customStyle="1" w:styleId="PO299" w:type="character">
    <w:name w:val="Heading 8 Char"/>
    <w:basedOn w:val="PO2"/>
    <w:link w:val="PO14"/>
    <w:uiPriority w:val="9"/>
    <w:rPr>
      <w:i w:val="1"/>
      <w:b w:val="1"/>
      <w:color w:val="1F3864" w:themeColor="accent1" w:themeShade="7F"/>
      <w:shd w:val="clear"/>
      <w:rFonts w:asciiTheme="majorHAnsi" w:eastAsiaTheme="majorEastAsia" w:hAnsiTheme="majorHAnsi" w:cstheme="majorBidi"/>
    </w:rPr>
  </w:style>
  <w:style w:customStyle="1" w:styleId="PO300" w:type="character">
    <w:name w:val="Heading 9 Char"/>
    <w:basedOn w:val="PO2"/>
    <w:link w:val="PO15"/>
    <w:uiPriority w:val="9"/>
    <w:rPr>
      <w:i w:val="1"/>
      <w:color w:val="1F3864" w:themeColor="accent1" w:themeShade="7F"/>
      <w:shd w:val="clear"/>
      <w:rFonts w:asciiTheme="majorHAnsi" w:eastAsiaTheme="majorEastAsia" w:hAnsiTheme="majorHAnsi" w:cstheme="majorBidi"/>
    </w:rPr>
  </w:style>
  <w:style w:customStyle="1" w:styleId="PO301" w:type="character">
    <w:name w:val="Title Char"/>
    <w:basedOn w:val="PO2"/>
    <w:link w:val="PO6"/>
    <w:uiPriority w:val="10"/>
    <w:rPr>
      <w:spacing w:val="-15"/>
      <w:color w:val="44546A" w:themeColor="text2"/>
      <w:sz w:val="72"/>
      <w:szCs w:val="72"/>
      <w:shd w:val="clear"/>
      <w:caps w:val="1"/>
      <w:rFonts w:asciiTheme="majorHAnsi" w:eastAsiaTheme="majorEastAsia" w:hAnsiTheme="majorHAnsi" w:cstheme="majorBidi"/>
    </w:rPr>
  </w:style>
  <w:style w:customStyle="1" w:styleId="PO302" w:type="character">
    <w:name w:val="Subtitle Char"/>
    <w:basedOn w:val="PO2"/>
    <w:link w:val="PO16"/>
    <w:uiPriority w:val="11"/>
    <w:rPr>
      <w:color w:val="4472C4" w:themeColor="accent1"/>
      <w:sz w:val="28"/>
      <w:szCs w:val="28"/>
      <w:shd w:val="clear"/>
      <w:rFonts w:asciiTheme="majorHAnsi" w:eastAsiaTheme="majorEastAsia" w:hAnsiTheme="majorHAnsi" w:cstheme="majorBidi"/>
    </w:rPr>
  </w:style>
  <w:style w:customStyle="1" w:styleId="PO303" w:type="character">
    <w:name w:val="Quote Char"/>
    <w:basedOn w:val="PO2"/>
    <w:link w:val="PO21"/>
    <w:uiPriority w:val="29"/>
    <w:rPr>
      <w:color w:val="44546A" w:themeColor="text2"/>
      <w:sz w:val="24"/>
      <w:szCs w:val="24"/>
      <w:shd w:val="clear"/>
    </w:rPr>
  </w:style>
  <w:style w:customStyle="1" w:styleId="PO304" w:type="character">
    <w:name w:val="Intense Quote Char"/>
    <w:basedOn w:val="PO2"/>
    <w:link w:val="PO22"/>
    <w:uiPriority w:val="30"/>
    <w:rPr>
      <w:spacing w:val="-6"/>
      <w:color w:val="44546A" w:themeColor="text2"/>
      <w:sz w:val="32"/>
      <w:szCs w:val="32"/>
      <w:shd w:val="clear"/>
      <w:rFonts w:asciiTheme="majorHAnsi" w:eastAsiaTheme="majorEastAsia" w:hAnsiTheme="majorHAnsi" w:cstheme="majorBidi"/>
    </w:rPr>
  </w:style>
  <w:style w:customStyle="1" w:styleId="PO305" w:type="paragraph">
    <w:name w:val="Standard"/>
    <w:pPr>
      <w:spacing w:lineRule="auto" w:line="275"/>
      <w:rPr/>
      <w:autoSpaceDN w:val="0"/>
    </w:pPr>
    <w:rPr>
      <w:sz w:val="24"/>
      <w:szCs w:val="24"/>
      <w:shd w:val="clear"/>
      <w:rFonts w:ascii="Times New Roman" w:eastAsia="Times New Roman" w:hAnsi="Times New Roman" w:cs="Times New Roman"/>
      <w:lang w:bidi="fa-IR" w:eastAsia="ja-JP" w:val="de-DE"/>
    </w:rPr>
  </w:style>
  <w:style w:styleId="PO306" w:type="paragraph">
    <w:name w:val="caption"/>
    <w:basedOn w:val="PO1"/>
    <w:next w:val="PO1"/>
    <w:link w:val="PO307"/>
    <w:qFormat/>
    <w:uiPriority w:val="35"/>
    <w:unhideWhenUsed/>
    <w:pPr>
      <w:spacing w:lineRule="auto" w:line="240"/>
      <w:rPr/>
    </w:pPr>
    <w:rPr>
      <w:b w:val="1"/>
      <w:color w:val="44546A" w:themeColor="text2"/>
      <w:shd w:val="clear"/>
      <w:smallCaps w:val="1"/>
    </w:rPr>
  </w:style>
  <w:style w:customStyle="1" w:styleId="PO307" w:type="character">
    <w:name w:val="Caption Char"/>
    <w:basedOn w:val="PO2"/>
    <w:link w:val="PO306"/>
    <w:uiPriority w:val="35"/>
    <w:rPr>
      <w:b w:val="1"/>
      <w:color w:val="44546A" w:themeColor="text2"/>
      <w:shd w:val="clear"/>
      <w:smallCaps w:val="1"/>
    </w:rPr>
  </w:style>
  <w:style w:styleId="PO308" w:type="paragraph">
    <w:name w:val="Body Text"/>
    <w:basedOn w:val="PO1"/>
    <w:link w:val="PO309"/>
    <w:uiPriority w:val="99"/>
    <w:pPr>
      <w:rPr/>
      <w:autoSpaceDN w:val="0"/>
    </w:pPr>
    <w:rPr>
      <w:shd w:val="clear"/>
      <w:rFonts w:ascii="Arial" w:eastAsia="Times New Roman" w:hAnsi="Arial" w:cs="Arial"/>
    </w:rPr>
  </w:style>
  <w:style w:customStyle="1" w:styleId="PO309" w:type="character">
    <w:name w:val="Body Text Char"/>
    <w:basedOn w:val="PO2"/>
    <w:link w:val="PO308"/>
    <w:uiPriority w:val="99"/>
    <w:rPr>
      <w:sz w:val="24"/>
      <w:szCs w:val="24"/>
      <w:shd w:val="clear"/>
      <w:rFonts w:ascii="Arial" w:eastAsia="Times New Roman" w:hAnsi="Arial" w:cs="Arial"/>
    </w:rPr>
  </w:style>
  <w:style w:customStyle="1" w:styleId="PO310" w:type="paragraph">
    <w:name w:val="Heading"/>
    <w:basedOn w:val="PO305"/>
    <w:pPr>
      <w:spacing w:before="240" w:after="120"/>
      <w:rPr/>
    </w:pPr>
    <w:rPr>
      <w:sz w:val="28"/>
      <w:szCs w:val="28"/>
      <w:shd w:val="clear"/>
      <w:rFonts w:ascii="Arial" w:hAnsi="Arial"/>
    </w:rPr>
  </w:style>
  <w:style w:customStyle="1" w:styleId="PO311" w:type="paragraph">
    <w:name w:val="Text body"/>
    <w:basedOn w:val="PO305"/>
    <w:pPr>
      <w:spacing w:after="120"/>
      <w:rPr/>
    </w:pPr>
  </w:style>
  <w:style w:styleId="PO312" w:type="paragraph">
    <w:name w:val="List"/>
    <w:basedOn w:val="PO311"/>
  </w:style>
  <w:style w:customStyle="1" w:styleId="PO313" w:type="paragraph">
    <w:name w:val="Index"/>
    <w:basedOn w:val="PO305"/>
    <w:pPr>
      <w:suppressLineNumbers/>
      <w:rPr/>
    </w:pPr>
  </w:style>
  <w:style w:customStyle="1" w:styleId="PO314" w:type="character">
    <w:name w:val="List Paragraph Char"/>
    <w:uiPriority w:val="34"/>
  </w:style>
  <w:style w:customStyle="1" w:styleId="PO315" w:type="paragraph">
    <w:name w:val="Body"/>
    <w:pPr>
      <w:spacing w:lineRule="auto" w:line="275"/>
      <w:pBdr>
        <w:top w:sz="2" w:space="31" w:color="FFFFFF" w:shadow="1" w:val="single"/>
        <w:bottom w:sz="2" w:space="31" w:color="FFFFFF" w:shadow="1" w:val="single"/>
        <w:left w:sz="2" w:space="31" w:color="FFFFFF" w:shadow="1" w:val="single"/>
        <w:right w:sz="2" w:space="31" w:color="FFFFFF" w:shadow="1" w:val="single"/>
      </w:pBdr>
      <w:rPr/>
      <w:autoSpaceDN w:val="0"/>
    </w:pPr>
    <w:rPr>
      <w:color w:val="000000"/>
      <w:sz w:val="24"/>
      <w:szCs w:val="24"/>
      <w:shd w:val="clear"/>
      <w:rFonts w:ascii="Times New Roman" w:eastAsia="Arial Unicode MS" w:hAnsi="Times New Roman" w:cs="Arial Unicode MS"/>
      <w:lang w:eastAsia="en-GB"/>
    </w:rPr>
  </w:style>
  <w:style w:styleId="PO316" w:type="character">
    <w:name w:val="Unresolved Mention"/>
    <w:basedOn w:val="PO2"/>
    <w:uiPriority w:val="99"/>
    <w:rPr>
      <w:color w:val="605E5C"/>
      <w:shd w:val="clear" w:color="auto" w:fill="E1DFDD"/>
    </w:rPr>
  </w:style>
  <w:style w:styleId="PO317" w:type="paragraph">
    <w:name w:val="Normal (Web)"/>
    <w:basedOn w:val="PO1"/>
    <w:uiPriority w:val="99"/>
    <w:pPr>
      <w:spacing w:before="100" w:after="100"/>
      <w:rPr/>
      <w:autoSpaceDN w:val="0"/>
    </w:pPr>
    <w:rPr>
      <w:shd w:val="clear"/>
      <w:rFonts w:eastAsia="Times New Roman"/>
    </w:rPr>
  </w:style>
  <w:style w:customStyle="1" w:styleId="PO318" w:type="paragraph">
    <w:name w:val="Default"/>
    <w:uiPriority w:val="99"/>
    <w:pPr>
      <w:spacing w:lineRule="auto" w:line="240" w:after="0"/>
      <w:rPr/>
      <w:autoSpaceDE w:val="0"/>
      <w:autoSpaceDN w:val="0"/>
    </w:pPr>
    <w:rPr>
      <w:color w:val="000000"/>
      <w:sz w:val="24"/>
      <w:szCs w:val="24"/>
      <w:shd w:val="clear"/>
      <w:rFonts w:ascii="Times New Roman" w:eastAsia="Aptos" w:hAnsi="Times New Roman" w:cs="Times New Roman"/>
    </w:rPr>
  </w:style>
  <w:style w:styleId="PO319" w:type="paragraph">
    <w:name w:val="List Bullet"/>
    <w:basedOn w:val="PO1"/>
    <w:pPr>
      <w:numPr>
        <w:numId w:val="5"/>
      </w:numPr>
      <w:contextualSpacing w:val="1"/>
      <w:ind w:left="0" w:firstLine="0"/>
      <w:rPr/>
      <w:autoSpaceDN w:val="0"/>
    </w:pPr>
    <w:rPr>
      <w:shd w:val="clear"/>
      <w:rFonts w:eastAsia="Times New Roman"/>
    </w:rPr>
  </w:style>
  <w:style w:styleId="PO320" w:type="paragraph">
    <w:name w:val="Body Text 3"/>
    <w:basedOn w:val="PO1"/>
    <w:link w:val="PO321"/>
    <w:uiPriority w:val="99"/>
    <w:pPr>
      <w:spacing w:after="120"/>
      <w:rPr/>
      <w:autoSpaceDN w:val="0"/>
    </w:pPr>
    <w:rPr>
      <w:sz w:val="16"/>
      <w:szCs w:val="16"/>
      <w:shd w:val="clear"/>
      <w:rFonts w:eastAsia="Times New Roman"/>
      <w:lang w:bidi="fa-IR" w:eastAsia="ja-JP" w:val="de-DE"/>
    </w:rPr>
  </w:style>
  <w:style w:customStyle="1" w:styleId="PO321" w:type="character">
    <w:name w:val="Body Text 3 Char"/>
    <w:basedOn w:val="PO2"/>
    <w:link w:val="PO320"/>
    <w:uiPriority w:val="99"/>
    <w:rPr>
      <w:sz w:val="16"/>
      <w:szCs w:val="16"/>
      <w:shd w:val="clear"/>
      <w:rFonts w:ascii="Times New Roman" w:eastAsia="Times New Roman" w:hAnsi="Times New Roman" w:cs="Times New Roman"/>
      <w:lang w:bidi="fa-IR" w:eastAsia="ja-JP" w:val="de-DE"/>
    </w:rPr>
  </w:style>
  <w:style w:customStyle="1" w:styleId="PO322" w:type="numbering">
    <w:name w:val="LFO340"/>
    <w:basedOn w:val="PO4"/>
    <w:pPr>
      <w:numPr>
        <w:numId w:val="5"/>
      </w:numPr>
      <w:rPr/>
    </w:pPr>
  </w:style>
  <w:style w:customStyle="1" w:styleId="PO323" w:type="table">
    <w:name w:val="Table Grid6"/>
    <w:basedOn w:val="PO3"/>
    <w:next w:val="PO37"/>
    <w:uiPriority w:val="59"/>
    <w:pPr>
      <w:spacing w:lineRule="auto" w:line="240" w:after="0"/>
      <w:rPr/>
    </w:pPr>
    <w:rPr>
      <w:sz w:val="20"/>
      <w:szCs w:val="20"/>
      <w:shd w:val="clear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customStyle="1" w:styleId="PO324" w:type="character">
    <w:name w:val="No Spacing Char"/>
    <w:basedOn w:val="PO2"/>
    <w:link w:val="PO5"/>
    <w:uiPriority w:val="1"/>
  </w:style>
  <w:style w:styleId="PO325" w:type="paragraph">
    <w:name w:val="Date"/>
    <w:basedOn w:val="PO1"/>
    <w:next w:val="PO1"/>
    <w:link w:val="PO326"/>
    <w:uiPriority w:val="99"/>
    <w:semiHidden/>
    <w:unhideWhenUsed/>
  </w:style>
  <w:style w:customStyle="1" w:styleId="PO326" w:type="character">
    <w:name w:val="Date Char"/>
    <w:basedOn w:val="PO2"/>
    <w:link w:val="PO325"/>
    <w:uiPriority w:val="99"/>
    <w:semiHidden/>
    <w:rPr>
      <w:sz w:val="24"/>
      <w:szCs w:val="24"/>
      <w:shd w:val="clear"/>
      <w:rFonts w:ascii="Times New Roman" w:hAnsi="Times New Roman" w:cs="Times New Roman"/>
      <w:lang w:val="en-GB"/>
    </w:rPr>
  </w:style>
  <w:style w:customStyle="1" w:styleId="PO327" w:type="paragraph">
    <w:name w:val="font0"/>
    <w:basedOn w:val="PO1"/>
    <w:pPr>
      <w:spacing w:lineRule="auto" w:line="240" w:before="100" w:beforeAutospacing="1" w:after="100" w:afterAutospacing="1"/>
      <w:rPr/>
    </w:pPr>
    <w:rPr>
      <w:color w:val="000000"/>
      <w:shd w:val="clear"/>
      <w:rFonts w:ascii="Calibri" w:eastAsia="Times New Roman" w:hAnsi="Calibri" w:cs="Calibri"/>
      <w:lang w:eastAsia="zh-CN"/>
    </w:rPr>
  </w:style>
  <w:style w:styleId="PO328" w:type="paragraph">
    <w:name w:val="table of figures"/>
    <w:basedOn w:val="PO1"/>
    <w:next w:val="PO1"/>
    <w:uiPriority w:val="99"/>
    <w:unhideWhenUsed/>
    <w:pPr>
      <w:spacing w:after="0"/>
      <w:rPr/>
    </w:pPr>
  </w:style>
  <w:style w:customStyle="1" w:styleId="PO329" w:type="character">
    <w:name w:val="Unresolved Mention1"/>
    <w:basedOn w:val="PO2"/>
    <w:uiPriority w:val="9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footer" Target="footer2.xml"></Relationship><Relationship Id="rId6" Type="http://schemas.openxmlformats.org/officeDocument/2006/relationships/image" Target="media/image2.jpg"></Relationship><Relationship Id="rId7" Type="http://schemas.openxmlformats.org/officeDocument/2006/relationships/footer" Target="footer22.xml"></Relationship><Relationship Id="rId8" Type="http://schemas.openxmlformats.org/officeDocument/2006/relationships/footer" Target="footer72.xml"></Relationship><Relationship Id="rId9" Type="http://schemas.openxmlformats.org/officeDocument/2006/relationships/numbering" Target="numbering.xml"></Relationship><Relationship Id="rId10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39363</Characters>
  <CharactersWithSpaces>0</CharactersWithSpaces>
  <DocSecurity>0</DocSecurity>
  <HyperlinksChanged>false</HyperlinksChanged>
  <Lines>279</Lines>
  <LinksUpToDate>false</LinksUpToDate>
  <Pages>23</Pages>
  <Paragraphs>78</Paragraphs>
  <Words>5886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Prosen</dc:creator>
  <cp:lastModifiedBy>Polaris Office</cp:lastModifiedBy>
  <dcterms:modified xsi:type="dcterms:W3CDTF">2026-09-05T13:32:00Z</dcterms:modified>
</cp:coreProperties>
</file>